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59F8B" w14:textId="77777777" w:rsidR="00F43360" w:rsidRPr="00F43360" w:rsidRDefault="00F43360" w:rsidP="00BC61E6">
      <w:pPr>
        <w:pStyle w:val="Heading5"/>
        <w:spacing w:before="180"/>
        <w:rPr>
          <w:rFonts w:ascii="Times New Roman" w:hAnsi="Times New Roman"/>
          <w:sz w:val="24"/>
        </w:rPr>
      </w:pPr>
      <w:r w:rsidRPr="00F43360">
        <w:rPr>
          <w:rFonts w:ascii="Times New Roman" w:hAnsi="Times New Roman"/>
        </w:rPr>
        <w:t xml:space="preserve">Government Treasurers’ Organization of </w:t>
      </w:r>
      <w:smartTag w:uri="urn:schemas-microsoft-com:office:smarttags" w:element="State">
        <w:smartTag w:uri="urn:schemas-microsoft-com:office:smarttags" w:element="place">
          <w:r w:rsidRPr="00F43360">
            <w:rPr>
              <w:rFonts w:ascii="Times New Roman" w:hAnsi="Times New Roman"/>
            </w:rPr>
            <w:t>Texas</w:t>
          </w:r>
        </w:smartTag>
      </w:smartTag>
      <w:r w:rsidR="007F2695" w:rsidRPr="00F43360">
        <w:rPr>
          <w:rFonts w:ascii="Times New Roman" w:hAnsi="Times New Roman"/>
          <w:sz w:val="24"/>
        </w:rPr>
        <w:t xml:space="preserve"> </w:t>
      </w:r>
    </w:p>
    <w:p w14:paraId="20863D7D" w14:textId="77777777" w:rsidR="00F43360" w:rsidRDefault="00F43360" w:rsidP="00F43360">
      <w:pPr>
        <w:pStyle w:val="Heading5"/>
        <w:spacing w:before="120"/>
        <w:rPr>
          <w:rFonts w:ascii="Arial" w:hAnsi="Arial" w:cs="Arial"/>
          <w:sz w:val="24"/>
        </w:rPr>
      </w:pPr>
      <w:r w:rsidRPr="00C34128">
        <w:rPr>
          <w:rFonts w:ascii="Arial" w:hAnsi="Arial" w:cs="Arial"/>
          <w:sz w:val="24"/>
        </w:rPr>
        <w:t>Investment Policy Certification</w:t>
      </w:r>
      <w:r>
        <w:rPr>
          <w:rFonts w:ascii="Arial" w:hAnsi="Arial" w:cs="Arial"/>
          <w:sz w:val="24"/>
        </w:rPr>
        <w:t xml:space="preserve"> </w:t>
      </w:r>
      <w:r w:rsidRPr="00C34128">
        <w:rPr>
          <w:rFonts w:ascii="Arial" w:hAnsi="Arial" w:cs="Arial"/>
          <w:sz w:val="24"/>
        </w:rPr>
        <w:t>Checklist</w:t>
      </w:r>
    </w:p>
    <w:p w14:paraId="58F19B68" w14:textId="77777777" w:rsidR="00C34128" w:rsidRPr="008B035B" w:rsidRDefault="00C34128" w:rsidP="008B035B">
      <w:pPr>
        <w:jc w:val="right"/>
      </w:pPr>
    </w:p>
    <w:tbl>
      <w:tblPr>
        <w:tblW w:w="10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5242"/>
        <w:gridCol w:w="1260"/>
        <w:gridCol w:w="1106"/>
        <w:gridCol w:w="2564"/>
      </w:tblGrid>
      <w:tr w:rsidR="00995AC1" w:rsidRPr="00D8406D" w14:paraId="4AA08EC2" w14:textId="77777777" w:rsidTr="00D8406D">
        <w:tc>
          <w:tcPr>
            <w:tcW w:w="806" w:type="dxa"/>
            <w:tcBorders>
              <w:top w:val="nil"/>
              <w:left w:val="nil"/>
              <w:bottom w:val="nil"/>
              <w:right w:val="nil"/>
            </w:tcBorders>
          </w:tcPr>
          <w:p w14:paraId="47E3CB0F" w14:textId="77777777" w:rsidR="00995AC1" w:rsidRPr="00D8406D" w:rsidRDefault="00995AC1" w:rsidP="00311622">
            <w:pPr>
              <w:rPr>
                <w:rFonts w:ascii="Arial" w:hAnsi="Arial" w:cs="Arial"/>
                <w:sz w:val="20"/>
              </w:rPr>
            </w:pPr>
          </w:p>
        </w:tc>
        <w:tc>
          <w:tcPr>
            <w:tcW w:w="5242" w:type="dxa"/>
            <w:tcBorders>
              <w:top w:val="nil"/>
              <w:left w:val="nil"/>
              <w:bottom w:val="nil"/>
              <w:right w:val="nil"/>
            </w:tcBorders>
          </w:tcPr>
          <w:p w14:paraId="08F1D5F8" w14:textId="77777777" w:rsidR="00995AC1" w:rsidRPr="00D8406D" w:rsidRDefault="00995AC1" w:rsidP="00311622">
            <w:pPr>
              <w:rPr>
                <w:rFonts w:ascii="Arial" w:hAnsi="Arial" w:cs="Arial"/>
                <w:sz w:val="20"/>
              </w:rPr>
            </w:pPr>
          </w:p>
        </w:tc>
        <w:tc>
          <w:tcPr>
            <w:tcW w:w="1260" w:type="dxa"/>
            <w:tcBorders>
              <w:top w:val="nil"/>
              <w:left w:val="nil"/>
              <w:bottom w:val="nil"/>
              <w:right w:val="single" w:sz="4" w:space="0" w:color="auto"/>
            </w:tcBorders>
          </w:tcPr>
          <w:p w14:paraId="40AA4490" w14:textId="77777777" w:rsidR="00995AC1" w:rsidRPr="00D8406D" w:rsidRDefault="00995AC1" w:rsidP="00311622">
            <w:pPr>
              <w:rPr>
                <w:rFonts w:ascii="Arial" w:hAnsi="Arial" w:cs="Arial"/>
                <w:sz w:val="20"/>
              </w:rPr>
            </w:pPr>
          </w:p>
        </w:tc>
        <w:tc>
          <w:tcPr>
            <w:tcW w:w="3670" w:type="dxa"/>
            <w:gridSpan w:val="2"/>
            <w:tcBorders>
              <w:left w:val="single" w:sz="4" w:space="0" w:color="auto"/>
            </w:tcBorders>
          </w:tcPr>
          <w:p w14:paraId="5F152E5D" w14:textId="77777777" w:rsidR="00995AC1" w:rsidRPr="00D8406D" w:rsidRDefault="00995AC1" w:rsidP="00D8406D">
            <w:pPr>
              <w:jc w:val="center"/>
              <w:rPr>
                <w:rFonts w:ascii="Arial" w:hAnsi="Arial" w:cs="Arial"/>
                <w:sz w:val="20"/>
              </w:rPr>
            </w:pPr>
            <w:r w:rsidRPr="00D8406D">
              <w:rPr>
                <w:rFonts w:ascii="Arial" w:hAnsi="Arial" w:cs="Arial"/>
                <w:sz w:val="20"/>
              </w:rPr>
              <w:t>Office Use Only</w:t>
            </w:r>
          </w:p>
        </w:tc>
      </w:tr>
      <w:tr w:rsidR="00995AC1" w:rsidRPr="00D8406D" w14:paraId="49B3FDF1" w14:textId="77777777" w:rsidTr="00D8406D">
        <w:tc>
          <w:tcPr>
            <w:tcW w:w="806" w:type="dxa"/>
            <w:tcBorders>
              <w:top w:val="nil"/>
              <w:left w:val="nil"/>
              <w:bottom w:val="nil"/>
              <w:right w:val="nil"/>
            </w:tcBorders>
          </w:tcPr>
          <w:p w14:paraId="0C9194AD" w14:textId="77777777" w:rsidR="00995AC1" w:rsidRPr="00D8406D" w:rsidRDefault="00995AC1" w:rsidP="00311622">
            <w:pPr>
              <w:rPr>
                <w:rFonts w:ascii="Arial" w:hAnsi="Arial" w:cs="Arial"/>
                <w:sz w:val="20"/>
              </w:rPr>
            </w:pPr>
            <w:r w:rsidRPr="00D8406D">
              <w:rPr>
                <w:rFonts w:ascii="Arial" w:hAnsi="Arial" w:cs="Arial"/>
                <w:sz w:val="20"/>
              </w:rPr>
              <w:t>Entity:</w:t>
            </w:r>
          </w:p>
        </w:tc>
        <w:tc>
          <w:tcPr>
            <w:tcW w:w="5242" w:type="dxa"/>
            <w:tcBorders>
              <w:top w:val="nil"/>
              <w:left w:val="nil"/>
              <w:bottom w:val="single" w:sz="4" w:space="0" w:color="auto"/>
              <w:right w:val="nil"/>
            </w:tcBorders>
          </w:tcPr>
          <w:p w14:paraId="48016F6A" w14:textId="77777777" w:rsidR="00995AC1" w:rsidRPr="00D8406D" w:rsidRDefault="00995AC1" w:rsidP="00311622">
            <w:pPr>
              <w:rPr>
                <w:rFonts w:ascii="Arial" w:hAnsi="Arial" w:cs="Arial"/>
                <w:sz w:val="20"/>
              </w:rPr>
            </w:pPr>
          </w:p>
        </w:tc>
        <w:tc>
          <w:tcPr>
            <w:tcW w:w="1260" w:type="dxa"/>
            <w:tcBorders>
              <w:top w:val="nil"/>
              <w:left w:val="nil"/>
              <w:bottom w:val="nil"/>
              <w:right w:val="single" w:sz="4" w:space="0" w:color="auto"/>
            </w:tcBorders>
          </w:tcPr>
          <w:p w14:paraId="7A1C02AE" w14:textId="77777777" w:rsidR="00995AC1" w:rsidRPr="00D8406D" w:rsidRDefault="00995AC1" w:rsidP="00311622">
            <w:pPr>
              <w:rPr>
                <w:rFonts w:ascii="Arial" w:hAnsi="Arial" w:cs="Arial"/>
                <w:sz w:val="20"/>
              </w:rPr>
            </w:pPr>
          </w:p>
        </w:tc>
        <w:tc>
          <w:tcPr>
            <w:tcW w:w="1106" w:type="dxa"/>
            <w:tcBorders>
              <w:left w:val="single" w:sz="4" w:space="0" w:color="auto"/>
              <w:right w:val="nil"/>
            </w:tcBorders>
          </w:tcPr>
          <w:p w14:paraId="1F9FD0DD" w14:textId="77777777" w:rsidR="00995AC1" w:rsidRPr="00D8406D" w:rsidRDefault="00995AC1" w:rsidP="00311622">
            <w:pPr>
              <w:rPr>
                <w:rFonts w:ascii="Arial" w:hAnsi="Arial" w:cs="Arial"/>
                <w:sz w:val="20"/>
              </w:rPr>
            </w:pPr>
            <w:r w:rsidRPr="00D8406D">
              <w:rPr>
                <w:rFonts w:ascii="Arial" w:hAnsi="Arial" w:cs="Arial"/>
                <w:sz w:val="20"/>
              </w:rPr>
              <w:t>Reviewer:</w:t>
            </w:r>
          </w:p>
        </w:tc>
        <w:tc>
          <w:tcPr>
            <w:tcW w:w="2564" w:type="dxa"/>
            <w:tcBorders>
              <w:left w:val="nil"/>
            </w:tcBorders>
          </w:tcPr>
          <w:p w14:paraId="511C674E" w14:textId="77777777" w:rsidR="00995AC1" w:rsidRPr="00D8406D" w:rsidRDefault="00995AC1" w:rsidP="00311622">
            <w:pPr>
              <w:rPr>
                <w:rFonts w:ascii="Arial" w:hAnsi="Arial" w:cs="Arial"/>
                <w:sz w:val="20"/>
              </w:rPr>
            </w:pPr>
          </w:p>
        </w:tc>
      </w:tr>
      <w:tr w:rsidR="00995AC1" w:rsidRPr="00D8406D" w14:paraId="12775BB7" w14:textId="77777777" w:rsidTr="00D8406D">
        <w:tc>
          <w:tcPr>
            <w:tcW w:w="806" w:type="dxa"/>
            <w:tcBorders>
              <w:top w:val="nil"/>
              <w:left w:val="nil"/>
              <w:bottom w:val="nil"/>
              <w:right w:val="nil"/>
            </w:tcBorders>
          </w:tcPr>
          <w:p w14:paraId="1921E1E4" w14:textId="77777777" w:rsidR="00995AC1" w:rsidRPr="00D8406D" w:rsidRDefault="00995AC1" w:rsidP="00311622">
            <w:pPr>
              <w:rPr>
                <w:rFonts w:ascii="Arial" w:hAnsi="Arial" w:cs="Arial"/>
                <w:sz w:val="20"/>
              </w:rPr>
            </w:pPr>
          </w:p>
        </w:tc>
        <w:tc>
          <w:tcPr>
            <w:tcW w:w="5242" w:type="dxa"/>
            <w:tcBorders>
              <w:top w:val="single" w:sz="4" w:space="0" w:color="auto"/>
              <w:left w:val="nil"/>
              <w:bottom w:val="nil"/>
              <w:right w:val="nil"/>
            </w:tcBorders>
          </w:tcPr>
          <w:p w14:paraId="43E3AB6A" w14:textId="77777777" w:rsidR="00995AC1" w:rsidRPr="00D8406D" w:rsidRDefault="00995AC1" w:rsidP="00311622">
            <w:pPr>
              <w:rPr>
                <w:rFonts w:ascii="Arial" w:hAnsi="Arial" w:cs="Arial"/>
                <w:sz w:val="20"/>
              </w:rPr>
            </w:pPr>
          </w:p>
        </w:tc>
        <w:tc>
          <w:tcPr>
            <w:tcW w:w="1260" w:type="dxa"/>
            <w:tcBorders>
              <w:top w:val="nil"/>
              <w:left w:val="nil"/>
              <w:bottom w:val="nil"/>
              <w:right w:val="single" w:sz="4" w:space="0" w:color="auto"/>
            </w:tcBorders>
          </w:tcPr>
          <w:p w14:paraId="1033D535" w14:textId="77777777" w:rsidR="00995AC1" w:rsidRPr="00D8406D" w:rsidRDefault="00995AC1" w:rsidP="00311622">
            <w:pPr>
              <w:rPr>
                <w:rFonts w:ascii="Arial" w:hAnsi="Arial" w:cs="Arial"/>
                <w:sz w:val="20"/>
              </w:rPr>
            </w:pPr>
          </w:p>
        </w:tc>
        <w:tc>
          <w:tcPr>
            <w:tcW w:w="1106" w:type="dxa"/>
            <w:tcBorders>
              <w:left w:val="single" w:sz="4" w:space="0" w:color="auto"/>
              <w:right w:val="nil"/>
            </w:tcBorders>
          </w:tcPr>
          <w:p w14:paraId="2F87019C" w14:textId="77777777" w:rsidR="00995AC1" w:rsidRPr="00D8406D" w:rsidRDefault="00995AC1" w:rsidP="00311622">
            <w:pPr>
              <w:rPr>
                <w:rFonts w:ascii="Arial" w:hAnsi="Arial" w:cs="Arial"/>
                <w:sz w:val="20"/>
              </w:rPr>
            </w:pPr>
            <w:r w:rsidRPr="00D8406D">
              <w:rPr>
                <w:rFonts w:ascii="Arial" w:hAnsi="Arial" w:cs="Arial"/>
                <w:sz w:val="20"/>
              </w:rPr>
              <w:t>Date:</w:t>
            </w:r>
          </w:p>
        </w:tc>
        <w:tc>
          <w:tcPr>
            <w:tcW w:w="2564" w:type="dxa"/>
            <w:tcBorders>
              <w:left w:val="nil"/>
            </w:tcBorders>
          </w:tcPr>
          <w:p w14:paraId="69558FB7" w14:textId="77777777" w:rsidR="00995AC1" w:rsidRPr="00D8406D" w:rsidRDefault="00995AC1" w:rsidP="00311622">
            <w:pPr>
              <w:rPr>
                <w:rFonts w:ascii="Arial" w:hAnsi="Arial" w:cs="Arial"/>
                <w:sz w:val="20"/>
              </w:rPr>
            </w:pPr>
          </w:p>
        </w:tc>
      </w:tr>
    </w:tbl>
    <w:p w14:paraId="0806351B" w14:textId="77777777" w:rsidR="00BC61E6" w:rsidRPr="00C34128" w:rsidRDefault="00BC61E6" w:rsidP="00BC61E6"/>
    <w:p w14:paraId="712FF411" w14:textId="77777777" w:rsidR="006E4717" w:rsidRDefault="006E4717" w:rsidP="006E4717">
      <w:pPr>
        <w:rPr>
          <w:rFonts w:ascii="Arial" w:hAnsi="Arial" w:cs="Arial"/>
          <w:color w:val="FF0000"/>
          <w:sz w:val="20"/>
        </w:rPr>
      </w:pPr>
      <w:r w:rsidRPr="006E4717">
        <w:rPr>
          <w:rFonts w:ascii="Arial" w:hAnsi="Arial" w:cs="Arial"/>
          <w:color w:val="FF0000"/>
          <w:sz w:val="20"/>
        </w:rPr>
        <w:t>*</w:t>
      </w:r>
      <w:r w:rsidRPr="006E4717">
        <w:rPr>
          <w:rFonts w:ascii="Arial" w:hAnsi="Arial" w:cs="Arial"/>
          <w:b/>
          <w:color w:val="FF0000"/>
          <w:sz w:val="20"/>
        </w:rPr>
        <w:t>Applicant</w:t>
      </w:r>
      <w:r w:rsidRPr="006E4717">
        <w:rPr>
          <w:rFonts w:ascii="Arial" w:hAnsi="Arial" w:cs="Arial"/>
          <w:color w:val="FF0000"/>
          <w:sz w:val="20"/>
        </w:rPr>
        <w:t xml:space="preserve"> must indicate in this column where item is located in the investment policy submitted for review. (Example:  Authorized and Suitable Investments, Section 6, page 10)</w:t>
      </w:r>
    </w:p>
    <w:p w14:paraId="57B33745" w14:textId="315A8C0D" w:rsidR="000F7187" w:rsidRPr="008945C5" w:rsidRDefault="000F7187" w:rsidP="006E4717">
      <w:pPr>
        <w:rPr>
          <w:rFonts w:ascii="Arial" w:hAnsi="Arial" w:cs="Arial"/>
          <w:b/>
          <w:sz w:val="20"/>
        </w:rPr>
      </w:pPr>
      <w:r w:rsidRPr="008945C5">
        <w:rPr>
          <w:rFonts w:ascii="Arial" w:hAnsi="Arial" w:cs="Arial"/>
          <w:b/>
          <w:sz w:val="20"/>
          <w:highlight w:val="yellow"/>
        </w:rPr>
        <w:t xml:space="preserve">**Revised: </w:t>
      </w:r>
      <w:r w:rsidR="00B56D27">
        <w:rPr>
          <w:rFonts w:ascii="Arial" w:hAnsi="Arial" w:cs="Arial"/>
          <w:b/>
          <w:sz w:val="20"/>
          <w:highlight w:val="yellow"/>
        </w:rPr>
        <w:t>July</w:t>
      </w:r>
      <w:r w:rsidRPr="008945C5">
        <w:rPr>
          <w:rFonts w:ascii="Arial" w:hAnsi="Arial" w:cs="Arial"/>
          <w:b/>
          <w:sz w:val="20"/>
          <w:highlight w:val="yellow"/>
        </w:rPr>
        <w:t xml:space="preserve"> 20</w:t>
      </w:r>
      <w:r w:rsidR="00B56D27">
        <w:rPr>
          <w:rFonts w:ascii="Arial" w:hAnsi="Arial" w:cs="Arial"/>
          <w:b/>
          <w:sz w:val="20"/>
          <w:highlight w:val="yellow"/>
        </w:rPr>
        <w:t>23</w:t>
      </w:r>
    </w:p>
    <w:p w14:paraId="115C3F17" w14:textId="77777777" w:rsidR="006E4717" w:rsidRDefault="006E4717" w:rsidP="006E4717">
      <w:pPr>
        <w:rPr>
          <w:rFonts w:ascii="Arial" w:hAnsi="Arial" w:cs="Arial"/>
          <w:sz w:val="20"/>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4320"/>
        <w:gridCol w:w="1303"/>
        <w:gridCol w:w="2535"/>
        <w:gridCol w:w="2894"/>
      </w:tblGrid>
      <w:tr w:rsidR="007F2695" w:rsidRPr="00C34128" w14:paraId="569BED93" w14:textId="77777777" w:rsidTr="001801F0">
        <w:trPr>
          <w:cantSplit/>
          <w:tblHeader/>
        </w:trPr>
        <w:tc>
          <w:tcPr>
            <w:tcW w:w="4320" w:type="dxa"/>
            <w:vAlign w:val="center"/>
          </w:tcPr>
          <w:p w14:paraId="1AED13D9" w14:textId="77777777" w:rsidR="007F2695" w:rsidRPr="00C34128" w:rsidRDefault="007F2695">
            <w:pPr>
              <w:widowControl w:val="0"/>
              <w:jc w:val="center"/>
              <w:rPr>
                <w:rFonts w:ascii="Arial" w:hAnsi="Arial" w:cs="Arial"/>
                <w:b/>
                <w:bCs/>
                <w:sz w:val="18"/>
              </w:rPr>
            </w:pPr>
            <w:r w:rsidRPr="00C34128">
              <w:rPr>
                <w:rFonts w:ascii="Arial" w:hAnsi="Arial" w:cs="Arial"/>
                <w:b/>
                <w:bCs/>
                <w:sz w:val="18"/>
              </w:rPr>
              <w:t>CRITERIA</w:t>
            </w:r>
          </w:p>
        </w:tc>
        <w:tc>
          <w:tcPr>
            <w:tcW w:w="1303" w:type="dxa"/>
            <w:vAlign w:val="center"/>
          </w:tcPr>
          <w:p w14:paraId="141F320B" w14:textId="77777777" w:rsidR="007F2695" w:rsidRPr="006E4717" w:rsidRDefault="007F2695">
            <w:pPr>
              <w:jc w:val="center"/>
              <w:rPr>
                <w:rFonts w:ascii="Arial" w:hAnsi="Arial" w:cs="Arial"/>
                <w:b/>
                <w:bCs/>
                <w:color w:val="FF0000"/>
                <w:sz w:val="18"/>
              </w:rPr>
            </w:pPr>
            <w:r w:rsidRPr="006E4717">
              <w:rPr>
                <w:rFonts w:ascii="Arial" w:hAnsi="Arial" w:cs="Arial"/>
                <w:b/>
                <w:bCs/>
                <w:color w:val="FF0000"/>
                <w:sz w:val="18"/>
              </w:rPr>
              <w:t>PLACEMENT</w:t>
            </w:r>
          </w:p>
          <w:p w14:paraId="0BCF8B0B" w14:textId="77777777" w:rsidR="007F2695" w:rsidRPr="00C34128" w:rsidRDefault="007F2695">
            <w:pPr>
              <w:jc w:val="center"/>
              <w:rPr>
                <w:rFonts w:ascii="Arial" w:hAnsi="Arial" w:cs="Arial"/>
                <w:b/>
                <w:bCs/>
                <w:sz w:val="18"/>
              </w:rPr>
            </w:pPr>
            <w:r w:rsidRPr="006E4717">
              <w:rPr>
                <w:rFonts w:ascii="Arial" w:hAnsi="Arial" w:cs="Arial"/>
                <w:b/>
                <w:bCs/>
                <w:color w:val="FF0000"/>
                <w:sz w:val="18"/>
              </w:rPr>
              <w:t>IN POLICY</w:t>
            </w:r>
            <w:r w:rsidR="00D07D5F" w:rsidRPr="006E4717">
              <w:rPr>
                <w:rFonts w:ascii="Arial" w:hAnsi="Arial" w:cs="Arial"/>
                <w:b/>
                <w:bCs/>
                <w:color w:val="FF0000"/>
                <w:sz w:val="18"/>
              </w:rPr>
              <w:t>*</w:t>
            </w:r>
          </w:p>
        </w:tc>
        <w:tc>
          <w:tcPr>
            <w:tcW w:w="2535" w:type="dxa"/>
            <w:vAlign w:val="center"/>
          </w:tcPr>
          <w:p w14:paraId="3415DD91" w14:textId="77777777" w:rsidR="007F2695" w:rsidRDefault="007F2695" w:rsidP="00D07D5F">
            <w:pPr>
              <w:pStyle w:val="Heading2"/>
              <w:ind w:left="0"/>
              <w:rPr>
                <w:rFonts w:ascii="Arial" w:hAnsi="Arial" w:cs="Arial"/>
                <w:sz w:val="18"/>
              </w:rPr>
            </w:pPr>
            <w:r w:rsidRPr="00C34128">
              <w:rPr>
                <w:rFonts w:ascii="Arial" w:hAnsi="Arial" w:cs="Arial"/>
                <w:sz w:val="18"/>
              </w:rPr>
              <w:t>ACCEPTABLE</w:t>
            </w:r>
          </w:p>
          <w:p w14:paraId="45E1E2D6" w14:textId="77777777" w:rsidR="00D07D5F" w:rsidRPr="00D07D5F" w:rsidRDefault="00D07D5F" w:rsidP="00D07D5F">
            <w:pPr>
              <w:jc w:val="center"/>
              <w:rPr>
                <w:rFonts w:ascii="Arial" w:hAnsi="Arial" w:cs="Arial"/>
                <w:b/>
                <w:sz w:val="18"/>
                <w:szCs w:val="18"/>
              </w:rPr>
            </w:pPr>
            <w:r>
              <w:rPr>
                <w:rFonts w:ascii="Arial" w:hAnsi="Arial" w:cs="Arial"/>
                <w:b/>
                <w:sz w:val="18"/>
                <w:szCs w:val="18"/>
              </w:rPr>
              <w:t>(RECOMMENDATIONS)</w:t>
            </w:r>
            <w:r w:rsidR="00E37E55">
              <w:rPr>
                <w:rFonts w:ascii="Arial" w:hAnsi="Arial" w:cs="Arial"/>
                <w:b/>
                <w:sz w:val="18"/>
                <w:szCs w:val="18"/>
              </w:rPr>
              <w:t>**</w:t>
            </w:r>
          </w:p>
        </w:tc>
        <w:tc>
          <w:tcPr>
            <w:tcW w:w="2894" w:type="dxa"/>
            <w:vAlign w:val="center"/>
          </w:tcPr>
          <w:p w14:paraId="05C7F972" w14:textId="77777777" w:rsidR="007F2695" w:rsidRPr="00C34128" w:rsidRDefault="007F2695">
            <w:pPr>
              <w:pStyle w:val="Heading4"/>
              <w:rPr>
                <w:rFonts w:ascii="Arial" w:hAnsi="Arial" w:cs="Arial"/>
                <w:sz w:val="18"/>
              </w:rPr>
            </w:pPr>
            <w:r w:rsidRPr="00C34128">
              <w:rPr>
                <w:rFonts w:ascii="Arial" w:hAnsi="Arial" w:cs="Arial"/>
                <w:sz w:val="18"/>
              </w:rPr>
              <w:t>UNACCEPTABLE</w:t>
            </w:r>
          </w:p>
          <w:p w14:paraId="63B94BC0" w14:textId="77777777" w:rsidR="007F2695" w:rsidRPr="00C34128" w:rsidRDefault="007F2695">
            <w:pPr>
              <w:pStyle w:val="Heading4"/>
              <w:rPr>
                <w:rFonts w:ascii="Arial" w:hAnsi="Arial" w:cs="Arial"/>
                <w:sz w:val="18"/>
              </w:rPr>
            </w:pPr>
            <w:r w:rsidRPr="00C34128">
              <w:rPr>
                <w:rFonts w:ascii="Arial" w:hAnsi="Arial" w:cs="Arial"/>
                <w:sz w:val="18"/>
              </w:rPr>
              <w:t>(</w:t>
            </w:r>
            <w:r w:rsidR="00D07D5F">
              <w:rPr>
                <w:rFonts w:ascii="Arial" w:hAnsi="Arial" w:cs="Arial"/>
                <w:sz w:val="18"/>
              </w:rPr>
              <w:t>RECOMMENDATIONS</w:t>
            </w:r>
            <w:r w:rsidRPr="00C34128">
              <w:rPr>
                <w:rFonts w:ascii="Arial" w:hAnsi="Arial" w:cs="Arial"/>
                <w:sz w:val="18"/>
              </w:rPr>
              <w:t>)</w:t>
            </w:r>
          </w:p>
        </w:tc>
      </w:tr>
      <w:tr w:rsidR="007F2695" w:rsidRPr="00C34128" w14:paraId="1B6F99B1" w14:textId="77777777" w:rsidTr="001801F0">
        <w:trPr>
          <w:cantSplit/>
        </w:trPr>
        <w:tc>
          <w:tcPr>
            <w:tcW w:w="4320" w:type="dxa"/>
          </w:tcPr>
          <w:p w14:paraId="36F5FEAA" w14:textId="77777777" w:rsidR="007F2695" w:rsidRPr="00C34128" w:rsidRDefault="007F2695">
            <w:pPr>
              <w:pStyle w:val="BodyText"/>
              <w:widowControl w:val="0"/>
              <w:rPr>
                <w:rFonts w:ascii="Arial" w:hAnsi="Arial" w:cs="Arial"/>
                <w:b/>
                <w:bCs/>
                <w:sz w:val="18"/>
              </w:rPr>
            </w:pPr>
            <w:r w:rsidRPr="00C34128">
              <w:rPr>
                <w:rFonts w:ascii="Arial" w:hAnsi="Arial" w:cs="Arial"/>
                <w:b/>
                <w:bCs/>
                <w:sz w:val="18"/>
              </w:rPr>
              <w:t>Policy Statement</w:t>
            </w:r>
          </w:p>
          <w:p w14:paraId="16378691" w14:textId="77777777" w:rsidR="007F2695" w:rsidRPr="00C34128" w:rsidRDefault="007F2695">
            <w:pPr>
              <w:widowControl w:val="0"/>
              <w:rPr>
                <w:rFonts w:ascii="Arial" w:hAnsi="Arial" w:cs="Arial"/>
                <w:sz w:val="18"/>
              </w:rPr>
            </w:pPr>
            <w:r w:rsidRPr="00C34128">
              <w:rPr>
                <w:rFonts w:ascii="Arial" w:hAnsi="Arial" w:cs="Arial"/>
                <w:sz w:val="18"/>
              </w:rPr>
              <w:t xml:space="preserve">Policy statement emphasizing the guiding principles of the investment program and conformance to all statutes, rules and regulations governing the investment of public funds. </w:t>
            </w:r>
          </w:p>
        </w:tc>
        <w:tc>
          <w:tcPr>
            <w:tcW w:w="1303" w:type="dxa"/>
            <w:vAlign w:val="center"/>
          </w:tcPr>
          <w:p w14:paraId="6B32351A" w14:textId="77777777" w:rsidR="007F2695" w:rsidRPr="00C34128" w:rsidRDefault="007F2695">
            <w:pPr>
              <w:jc w:val="center"/>
              <w:rPr>
                <w:rFonts w:ascii="Arial" w:hAnsi="Arial" w:cs="Arial"/>
                <w:smallCaps/>
                <w:sz w:val="18"/>
              </w:rPr>
            </w:pPr>
          </w:p>
        </w:tc>
        <w:tc>
          <w:tcPr>
            <w:tcW w:w="2535" w:type="dxa"/>
            <w:vAlign w:val="center"/>
          </w:tcPr>
          <w:p w14:paraId="002C0AC7" w14:textId="77777777" w:rsidR="007F2695" w:rsidRPr="00C34128" w:rsidRDefault="007F2695">
            <w:pPr>
              <w:rPr>
                <w:rFonts w:ascii="Arial" w:hAnsi="Arial" w:cs="Arial"/>
                <w:sz w:val="18"/>
              </w:rPr>
            </w:pPr>
          </w:p>
        </w:tc>
        <w:tc>
          <w:tcPr>
            <w:tcW w:w="2894" w:type="dxa"/>
            <w:vAlign w:val="center"/>
          </w:tcPr>
          <w:p w14:paraId="34A63029" w14:textId="77777777" w:rsidR="007F2695" w:rsidRPr="00C34128" w:rsidRDefault="007F2695">
            <w:pPr>
              <w:rPr>
                <w:rFonts w:ascii="Arial" w:hAnsi="Arial" w:cs="Arial"/>
                <w:sz w:val="18"/>
              </w:rPr>
            </w:pPr>
          </w:p>
          <w:p w14:paraId="669273C1" w14:textId="77777777" w:rsidR="007F2695" w:rsidRPr="00C34128" w:rsidRDefault="007F2695">
            <w:pPr>
              <w:rPr>
                <w:rFonts w:ascii="Arial" w:hAnsi="Arial" w:cs="Arial"/>
                <w:sz w:val="18"/>
              </w:rPr>
            </w:pPr>
          </w:p>
        </w:tc>
      </w:tr>
      <w:tr w:rsidR="007F2695" w:rsidRPr="00C34128" w14:paraId="62C9A654" w14:textId="77777777" w:rsidTr="001801F0">
        <w:trPr>
          <w:cantSplit/>
        </w:trPr>
        <w:tc>
          <w:tcPr>
            <w:tcW w:w="4320" w:type="dxa"/>
          </w:tcPr>
          <w:p w14:paraId="2367E854" w14:textId="77777777" w:rsidR="007F2695" w:rsidRPr="00C34128" w:rsidRDefault="007F2695">
            <w:pPr>
              <w:pStyle w:val="Heading3"/>
              <w:keepNext w:val="0"/>
              <w:widowControl w:val="0"/>
              <w:rPr>
                <w:rFonts w:ascii="Arial" w:hAnsi="Arial" w:cs="Arial"/>
                <w:sz w:val="18"/>
              </w:rPr>
            </w:pPr>
            <w:r w:rsidRPr="00C34128">
              <w:rPr>
                <w:rFonts w:ascii="Arial" w:hAnsi="Arial" w:cs="Arial"/>
                <w:sz w:val="18"/>
              </w:rPr>
              <w:t>Scope</w:t>
            </w:r>
          </w:p>
          <w:p w14:paraId="6448ADDD" w14:textId="77777777" w:rsidR="007F2695" w:rsidRPr="00C34128" w:rsidRDefault="007F2695">
            <w:pPr>
              <w:widowControl w:val="0"/>
              <w:rPr>
                <w:rFonts w:ascii="Arial" w:hAnsi="Arial" w:cs="Arial"/>
                <w:sz w:val="18"/>
              </w:rPr>
            </w:pPr>
            <w:r w:rsidRPr="00C34128">
              <w:rPr>
                <w:rFonts w:ascii="Arial" w:hAnsi="Arial" w:cs="Arial"/>
                <w:sz w:val="18"/>
              </w:rPr>
              <w:t xml:space="preserve">List of funds covered by the policy. Funds can either be defined specifically as they are listed in the </w:t>
            </w:r>
            <w:r w:rsidR="00B84EF8">
              <w:rPr>
                <w:rFonts w:ascii="Arial" w:hAnsi="Arial" w:cs="Arial"/>
                <w:sz w:val="18"/>
              </w:rPr>
              <w:t>audited annual financial report</w:t>
            </w:r>
            <w:r w:rsidRPr="00C34128">
              <w:rPr>
                <w:rFonts w:ascii="Arial" w:hAnsi="Arial" w:cs="Arial"/>
                <w:sz w:val="18"/>
              </w:rPr>
              <w:t xml:space="preserve">, or more generally (i.e. short-term operating funds). This section should also specify which funds, if any, are combined for investing purposes as a “pooled fund group”, and which funds are managed as “separately invested assets”, as defined in </w:t>
            </w:r>
            <w:r w:rsidRPr="00C34128">
              <w:rPr>
                <w:rFonts w:ascii="Arial" w:hAnsi="Arial" w:cs="Arial"/>
                <w:b/>
                <w:bCs/>
                <w:sz w:val="18"/>
              </w:rPr>
              <w:t>PFIA 2256.002(9)</w:t>
            </w:r>
            <w:r w:rsidRPr="00C34128">
              <w:rPr>
                <w:rFonts w:ascii="Arial" w:hAnsi="Arial" w:cs="Arial"/>
                <w:sz w:val="18"/>
              </w:rPr>
              <w:t>.</w:t>
            </w:r>
          </w:p>
        </w:tc>
        <w:tc>
          <w:tcPr>
            <w:tcW w:w="1303" w:type="dxa"/>
            <w:vAlign w:val="center"/>
          </w:tcPr>
          <w:p w14:paraId="5342DED6" w14:textId="77777777" w:rsidR="007F2695" w:rsidRPr="00C34128" w:rsidRDefault="007F2695">
            <w:pPr>
              <w:pStyle w:val="Heading4"/>
              <w:rPr>
                <w:rFonts w:ascii="Arial" w:hAnsi="Arial" w:cs="Arial"/>
                <w:smallCaps/>
                <w:sz w:val="18"/>
              </w:rPr>
            </w:pPr>
          </w:p>
        </w:tc>
        <w:tc>
          <w:tcPr>
            <w:tcW w:w="2535" w:type="dxa"/>
            <w:vAlign w:val="center"/>
          </w:tcPr>
          <w:p w14:paraId="476B92A1" w14:textId="77777777" w:rsidR="007F2695" w:rsidRPr="00C34128" w:rsidRDefault="007F2695">
            <w:pPr>
              <w:rPr>
                <w:rFonts w:ascii="Arial" w:hAnsi="Arial" w:cs="Arial"/>
                <w:sz w:val="18"/>
              </w:rPr>
            </w:pPr>
          </w:p>
        </w:tc>
        <w:tc>
          <w:tcPr>
            <w:tcW w:w="2894" w:type="dxa"/>
            <w:vAlign w:val="center"/>
          </w:tcPr>
          <w:p w14:paraId="04E510FE" w14:textId="77777777" w:rsidR="007F2695" w:rsidRPr="00C34128" w:rsidRDefault="007F2695">
            <w:pPr>
              <w:rPr>
                <w:rFonts w:ascii="Arial" w:hAnsi="Arial" w:cs="Arial"/>
                <w:sz w:val="18"/>
              </w:rPr>
            </w:pPr>
          </w:p>
        </w:tc>
      </w:tr>
      <w:tr w:rsidR="007F2695" w:rsidRPr="00C34128" w14:paraId="1BB4EC82" w14:textId="77777777" w:rsidTr="001801F0">
        <w:trPr>
          <w:cantSplit/>
        </w:trPr>
        <w:tc>
          <w:tcPr>
            <w:tcW w:w="4320" w:type="dxa"/>
          </w:tcPr>
          <w:p w14:paraId="6CFEDE59" w14:textId="77777777" w:rsidR="007F2695" w:rsidRPr="00C34128" w:rsidRDefault="007F2695">
            <w:pPr>
              <w:pStyle w:val="Heading3"/>
              <w:keepNext w:val="0"/>
              <w:widowControl w:val="0"/>
              <w:rPr>
                <w:rFonts w:ascii="Arial" w:hAnsi="Arial" w:cs="Arial"/>
                <w:sz w:val="18"/>
              </w:rPr>
            </w:pPr>
            <w:r w:rsidRPr="00C34128">
              <w:rPr>
                <w:rFonts w:ascii="Arial" w:hAnsi="Arial" w:cs="Arial"/>
                <w:sz w:val="18"/>
              </w:rPr>
              <w:t>General Objectives</w:t>
            </w:r>
          </w:p>
          <w:p w14:paraId="08A4E383" w14:textId="77777777" w:rsidR="007F2695" w:rsidRPr="00C34128" w:rsidRDefault="007F2695" w:rsidP="00746A16">
            <w:pPr>
              <w:widowControl w:val="0"/>
              <w:rPr>
                <w:rFonts w:ascii="Arial" w:hAnsi="Arial" w:cs="Arial"/>
                <w:sz w:val="18"/>
              </w:rPr>
            </w:pPr>
            <w:r w:rsidRPr="00C34128">
              <w:rPr>
                <w:rFonts w:ascii="Arial" w:hAnsi="Arial" w:cs="Arial"/>
                <w:sz w:val="18"/>
              </w:rPr>
              <w:t xml:space="preserve">Investment policy must primarily emphasize safety of principal, liquidity </w:t>
            </w:r>
            <w:r w:rsidRPr="00C34128">
              <w:rPr>
                <w:rFonts w:ascii="Arial" w:hAnsi="Arial" w:cs="Arial"/>
                <w:b/>
                <w:bCs/>
                <w:sz w:val="18"/>
              </w:rPr>
              <w:t>[PFIA 2256.005 (b)(2)]</w:t>
            </w:r>
            <w:r w:rsidRPr="00C34128">
              <w:rPr>
                <w:rFonts w:ascii="Arial" w:hAnsi="Arial" w:cs="Arial"/>
                <w:sz w:val="18"/>
              </w:rPr>
              <w:t xml:space="preserve">, and yield </w:t>
            </w:r>
            <w:r w:rsidRPr="00C34128">
              <w:rPr>
                <w:rFonts w:ascii="Arial" w:hAnsi="Arial" w:cs="Arial"/>
                <w:b/>
                <w:bCs/>
                <w:sz w:val="18"/>
              </w:rPr>
              <w:t>[PFIA 2256.005 (b)(3)]</w:t>
            </w:r>
            <w:r w:rsidRPr="00C34128">
              <w:rPr>
                <w:rFonts w:ascii="Arial" w:hAnsi="Arial" w:cs="Arial"/>
                <w:sz w:val="18"/>
              </w:rPr>
              <w:t xml:space="preserve">. </w:t>
            </w:r>
            <w:r w:rsidR="00746A16">
              <w:rPr>
                <w:rFonts w:ascii="Arial" w:hAnsi="Arial" w:cs="Arial"/>
                <w:sz w:val="18"/>
              </w:rPr>
              <w:t xml:space="preserve">Policy includes procedures to monitor rating changes and liquidation of such investments consistent with </w:t>
            </w:r>
            <w:r w:rsidR="00746A16" w:rsidRPr="00C34128">
              <w:rPr>
                <w:rFonts w:ascii="Arial" w:hAnsi="Arial" w:cs="Arial"/>
                <w:b/>
                <w:bCs/>
                <w:sz w:val="18"/>
              </w:rPr>
              <w:t>[PFIA 2256.0</w:t>
            </w:r>
            <w:r w:rsidR="00746A16">
              <w:rPr>
                <w:rFonts w:ascii="Arial" w:hAnsi="Arial" w:cs="Arial"/>
                <w:b/>
                <w:bCs/>
                <w:sz w:val="18"/>
              </w:rPr>
              <w:t>05 (b)(4</w:t>
            </w:r>
            <w:r w:rsidR="00746A16" w:rsidRPr="00C34128">
              <w:rPr>
                <w:rFonts w:ascii="Arial" w:hAnsi="Arial" w:cs="Arial"/>
                <w:b/>
                <w:bCs/>
                <w:sz w:val="18"/>
              </w:rPr>
              <w:t>)</w:t>
            </w:r>
            <w:r w:rsidR="00746A16">
              <w:rPr>
                <w:rFonts w:ascii="Arial" w:hAnsi="Arial" w:cs="Arial"/>
                <w:b/>
                <w:bCs/>
                <w:sz w:val="18"/>
              </w:rPr>
              <w:t>(F)</w:t>
            </w:r>
            <w:r w:rsidR="00746A16" w:rsidRPr="00C34128">
              <w:rPr>
                <w:rFonts w:ascii="Arial" w:hAnsi="Arial" w:cs="Arial"/>
                <w:b/>
                <w:bCs/>
                <w:sz w:val="18"/>
              </w:rPr>
              <w:t>]</w:t>
            </w:r>
            <w:r w:rsidR="00746A16" w:rsidRPr="00C34128">
              <w:rPr>
                <w:rFonts w:ascii="Arial" w:hAnsi="Arial" w:cs="Arial"/>
                <w:sz w:val="18"/>
              </w:rPr>
              <w:t>.</w:t>
            </w:r>
          </w:p>
        </w:tc>
        <w:tc>
          <w:tcPr>
            <w:tcW w:w="1303" w:type="dxa"/>
            <w:vAlign w:val="center"/>
          </w:tcPr>
          <w:p w14:paraId="38B8D0B6" w14:textId="77777777" w:rsidR="007F2695" w:rsidRPr="00C34128" w:rsidRDefault="007F2695">
            <w:pPr>
              <w:pStyle w:val="Heading4"/>
              <w:rPr>
                <w:rFonts w:ascii="Arial" w:hAnsi="Arial" w:cs="Arial"/>
                <w:smallCaps/>
                <w:sz w:val="18"/>
              </w:rPr>
            </w:pPr>
          </w:p>
        </w:tc>
        <w:tc>
          <w:tcPr>
            <w:tcW w:w="2535" w:type="dxa"/>
            <w:vAlign w:val="center"/>
          </w:tcPr>
          <w:p w14:paraId="252BB1D5" w14:textId="77777777" w:rsidR="007F2695" w:rsidRPr="00C34128" w:rsidRDefault="007F2695">
            <w:pPr>
              <w:rPr>
                <w:rFonts w:ascii="Arial" w:hAnsi="Arial" w:cs="Arial"/>
                <w:sz w:val="18"/>
              </w:rPr>
            </w:pPr>
          </w:p>
        </w:tc>
        <w:tc>
          <w:tcPr>
            <w:tcW w:w="2894" w:type="dxa"/>
            <w:vAlign w:val="center"/>
          </w:tcPr>
          <w:p w14:paraId="1851F872" w14:textId="77777777" w:rsidR="007F2695" w:rsidRPr="00C34128" w:rsidRDefault="007F2695">
            <w:pPr>
              <w:rPr>
                <w:rFonts w:ascii="Arial" w:hAnsi="Arial" w:cs="Arial"/>
                <w:sz w:val="18"/>
              </w:rPr>
            </w:pPr>
          </w:p>
        </w:tc>
      </w:tr>
      <w:tr w:rsidR="007F2695" w:rsidRPr="00C34128" w14:paraId="633A9686" w14:textId="77777777" w:rsidTr="001801F0">
        <w:trPr>
          <w:cantSplit/>
        </w:trPr>
        <w:tc>
          <w:tcPr>
            <w:tcW w:w="4320" w:type="dxa"/>
          </w:tcPr>
          <w:p w14:paraId="06E1E875" w14:textId="77777777" w:rsidR="007F2695" w:rsidRPr="00C34128" w:rsidRDefault="007F2695">
            <w:pPr>
              <w:pStyle w:val="Heading3"/>
              <w:keepNext w:val="0"/>
              <w:widowControl w:val="0"/>
              <w:rPr>
                <w:rFonts w:ascii="Arial" w:hAnsi="Arial" w:cs="Arial"/>
                <w:sz w:val="18"/>
              </w:rPr>
            </w:pPr>
            <w:r w:rsidRPr="00C34128">
              <w:rPr>
                <w:rFonts w:ascii="Arial" w:hAnsi="Arial" w:cs="Arial"/>
                <w:sz w:val="18"/>
              </w:rPr>
              <w:t>Prudent Person Rule</w:t>
            </w:r>
          </w:p>
          <w:p w14:paraId="239F90F2" w14:textId="77777777" w:rsidR="007F2695" w:rsidRPr="00C34128" w:rsidRDefault="007F2695">
            <w:pPr>
              <w:widowControl w:val="0"/>
              <w:rPr>
                <w:rFonts w:ascii="Arial" w:hAnsi="Arial" w:cs="Arial"/>
                <w:sz w:val="18"/>
              </w:rPr>
            </w:pPr>
            <w:r w:rsidRPr="00C34128">
              <w:rPr>
                <w:rFonts w:ascii="Arial" w:hAnsi="Arial" w:cs="Arial"/>
                <w:sz w:val="18"/>
              </w:rPr>
              <w:t xml:space="preserve">“Prudent Person” statement relating to the standard of care that must be exercised when investing public funds. </w:t>
            </w:r>
            <w:r w:rsidRPr="00C34128">
              <w:rPr>
                <w:rFonts w:ascii="Arial" w:hAnsi="Arial" w:cs="Arial"/>
                <w:b/>
                <w:bCs/>
                <w:sz w:val="18"/>
              </w:rPr>
              <w:t>PFIA 2256.006 (a-b)</w:t>
            </w:r>
          </w:p>
        </w:tc>
        <w:tc>
          <w:tcPr>
            <w:tcW w:w="1303" w:type="dxa"/>
            <w:vAlign w:val="center"/>
          </w:tcPr>
          <w:p w14:paraId="3B884F7C" w14:textId="77777777" w:rsidR="007F2695" w:rsidRPr="00C34128" w:rsidRDefault="007F2695">
            <w:pPr>
              <w:pStyle w:val="Heading4"/>
              <w:rPr>
                <w:rFonts w:ascii="Arial" w:hAnsi="Arial" w:cs="Arial"/>
                <w:smallCaps/>
                <w:sz w:val="18"/>
              </w:rPr>
            </w:pPr>
          </w:p>
        </w:tc>
        <w:tc>
          <w:tcPr>
            <w:tcW w:w="2535" w:type="dxa"/>
            <w:vAlign w:val="center"/>
          </w:tcPr>
          <w:p w14:paraId="775E0B08" w14:textId="77777777" w:rsidR="007F2695" w:rsidRPr="00C34128" w:rsidRDefault="007F2695">
            <w:pPr>
              <w:rPr>
                <w:rFonts w:ascii="Arial" w:hAnsi="Arial" w:cs="Arial"/>
                <w:sz w:val="18"/>
              </w:rPr>
            </w:pPr>
          </w:p>
        </w:tc>
        <w:tc>
          <w:tcPr>
            <w:tcW w:w="2894" w:type="dxa"/>
            <w:vAlign w:val="center"/>
          </w:tcPr>
          <w:p w14:paraId="6DDA1A94" w14:textId="77777777" w:rsidR="007F2695" w:rsidRPr="00C34128" w:rsidRDefault="007F2695">
            <w:pPr>
              <w:rPr>
                <w:rFonts w:ascii="Arial" w:hAnsi="Arial" w:cs="Arial"/>
                <w:sz w:val="18"/>
              </w:rPr>
            </w:pPr>
          </w:p>
        </w:tc>
      </w:tr>
      <w:tr w:rsidR="007F2695" w:rsidRPr="00C34128" w14:paraId="5CD440CC" w14:textId="77777777" w:rsidTr="001801F0">
        <w:tc>
          <w:tcPr>
            <w:tcW w:w="4320" w:type="dxa"/>
          </w:tcPr>
          <w:p w14:paraId="59AD8F22" w14:textId="77777777" w:rsidR="007F2695" w:rsidRPr="00C34128" w:rsidRDefault="007F2695">
            <w:pPr>
              <w:widowControl w:val="0"/>
              <w:rPr>
                <w:rFonts w:ascii="Arial" w:hAnsi="Arial" w:cs="Arial"/>
                <w:b/>
                <w:bCs/>
                <w:sz w:val="18"/>
              </w:rPr>
            </w:pPr>
            <w:r w:rsidRPr="00C34128">
              <w:rPr>
                <w:rFonts w:ascii="Arial" w:hAnsi="Arial" w:cs="Arial"/>
                <w:b/>
                <w:bCs/>
                <w:sz w:val="18"/>
              </w:rPr>
              <w:t>Capability of Investment Management</w:t>
            </w:r>
          </w:p>
          <w:p w14:paraId="7259003D" w14:textId="77777777" w:rsidR="007F2695" w:rsidRPr="00C34128" w:rsidRDefault="007F2695">
            <w:pPr>
              <w:widowControl w:val="0"/>
              <w:rPr>
                <w:rFonts w:ascii="Arial" w:hAnsi="Arial" w:cs="Arial"/>
                <w:sz w:val="18"/>
              </w:rPr>
            </w:pPr>
            <w:r w:rsidRPr="00C34128">
              <w:rPr>
                <w:rFonts w:ascii="Arial" w:hAnsi="Arial" w:cs="Arial"/>
                <w:sz w:val="18"/>
              </w:rPr>
              <w:t xml:space="preserve">Investment policy must address quality and capability of investment management. </w:t>
            </w:r>
            <w:r w:rsidRPr="00C34128">
              <w:rPr>
                <w:rFonts w:ascii="Arial" w:hAnsi="Arial" w:cs="Arial"/>
                <w:b/>
                <w:bCs/>
                <w:sz w:val="18"/>
              </w:rPr>
              <w:t>PFIA 2256.005 (b)(3)</w:t>
            </w:r>
          </w:p>
        </w:tc>
        <w:tc>
          <w:tcPr>
            <w:tcW w:w="1303" w:type="dxa"/>
            <w:vAlign w:val="center"/>
          </w:tcPr>
          <w:p w14:paraId="5B6B0BC9" w14:textId="77777777" w:rsidR="007F2695" w:rsidRPr="00C34128" w:rsidRDefault="007F2695">
            <w:pPr>
              <w:pStyle w:val="Heading4"/>
              <w:rPr>
                <w:rFonts w:ascii="Arial" w:hAnsi="Arial" w:cs="Arial"/>
                <w:smallCaps/>
                <w:sz w:val="18"/>
              </w:rPr>
            </w:pPr>
          </w:p>
        </w:tc>
        <w:tc>
          <w:tcPr>
            <w:tcW w:w="2535" w:type="dxa"/>
            <w:vAlign w:val="center"/>
          </w:tcPr>
          <w:p w14:paraId="34AFFFF4" w14:textId="77777777" w:rsidR="007F2695" w:rsidRPr="00C34128" w:rsidRDefault="007F2695">
            <w:pPr>
              <w:rPr>
                <w:rFonts w:ascii="Arial" w:hAnsi="Arial" w:cs="Arial"/>
                <w:sz w:val="18"/>
              </w:rPr>
            </w:pPr>
          </w:p>
        </w:tc>
        <w:tc>
          <w:tcPr>
            <w:tcW w:w="2894" w:type="dxa"/>
            <w:vAlign w:val="center"/>
          </w:tcPr>
          <w:p w14:paraId="5EFAF6A0" w14:textId="77777777" w:rsidR="007F2695" w:rsidRPr="00C34128" w:rsidRDefault="007F2695">
            <w:pPr>
              <w:rPr>
                <w:rFonts w:ascii="Arial" w:hAnsi="Arial" w:cs="Arial"/>
                <w:sz w:val="18"/>
              </w:rPr>
            </w:pPr>
          </w:p>
        </w:tc>
      </w:tr>
      <w:tr w:rsidR="007F2695" w:rsidRPr="00C34128" w14:paraId="795F54BB" w14:textId="77777777" w:rsidTr="001801F0">
        <w:trPr>
          <w:cantSplit/>
        </w:trPr>
        <w:tc>
          <w:tcPr>
            <w:tcW w:w="4320" w:type="dxa"/>
          </w:tcPr>
          <w:p w14:paraId="55C6C8CB" w14:textId="77777777" w:rsidR="007F2695" w:rsidRPr="00C34128" w:rsidRDefault="007F2695">
            <w:pPr>
              <w:pStyle w:val="Heading3"/>
              <w:keepNext w:val="0"/>
              <w:widowControl w:val="0"/>
              <w:rPr>
                <w:rFonts w:ascii="Arial" w:hAnsi="Arial" w:cs="Arial"/>
                <w:sz w:val="18"/>
              </w:rPr>
            </w:pPr>
            <w:r w:rsidRPr="00C34128">
              <w:rPr>
                <w:rFonts w:ascii="Arial" w:hAnsi="Arial" w:cs="Arial"/>
                <w:sz w:val="18"/>
              </w:rPr>
              <w:t>Ethics Disclosure and Conflicts of Interest</w:t>
            </w:r>
          </w:p>
          <w:p w14:paraId="46120929" w14:textId="77777777" w:rsidR="007F2695" w:rsidRPr="00C34128" w:rsidRDefault="007F2695">
            <w:pPr>
              <w:widowControl w:val="0"/>
              <w:rPr>
                <w:rFonts w:ascii="Arial" w:hAnsi="Arial" w:cs="Arial"/>
                <w:sz w:val="18"/>
              </w:rPr>
            </w:pPr>
            <w:r w:rsidRPr="00C34128">
              <w:rPr>
                <w:rFonts w:ascii="Arial" w:hAnsi="Arial" w:cs="Arial"/>
                <w:sz w:val="18"/>
              </w:rPr>
              <w:t>Investment Policy must require the investment officer(s) to file a disclosure statement with the Texas Ethics Commission and the governing body if:</w:t>
            </w:r>
          </w:p>
          <w:p w14:paraId="3CF63593" w14:textId="77777777" w:rsidR="007F2695" w:rsidRPr="00C34128" w:rsidRDefault="007F2695">
            <w:pPr>
              <w:widowControl w:val="0"/>
              <w:numPr>
                <w:ilvl w:val="0"/>
                <w:numId w:val="6"/>
              </w:numPr>
              <w:tabs>
                <w:tab w:val="clear" w:pos="1080"/>
                <w:tab w:val="num" w:pos="180"/>
              </w:tabs>
              <w:ind w:left="180" w:hanging="180"/>
              <w:rPr>
                <w:rFonts w:ascii="Arial" w:hAnsi="Arial" w:cs="Arial"/>
                <w:sz w:val="18"/>
              </w:rPr>
            </w:pPr>
            <w:r w:rsidRPr="00C34128">
              <w:rPr>
                <w:rFonts w:ascii="Arial" w:hAnsi="Arial" w:cs="Arial"/>
                <w:sz w:val="18"/>
              </w:rPr>
              <w:t>the officer has a personal business relationship with a business organization offering to engage in an investment transaction with the City (as defined in 2256.005 (</w:t>
            </w:r>
            <w:proofErr w:type="spellStart"/>
            <w:r w:rsidRPr="00C34128">
              <w:rPr>
                <w:rFonts w:ascii="Arial" w:hAnsi="Arial" w:cs="Arial"/>
                <w:sz w:val="18"/>
              </w:rPr>
              <w:t>i</w:t>
            </w:r>
            <w:proofErr w:type="spellEnd"/>
            <w:r w:rsidRPr="00C34128">
              <w:rPr>
                <w:rFonts w:ascii="Arial" w:hAnsi="Arial" w:cs="Arial"/>
                <w:sz w:val="18"/>
              </w:rPr>
              <w:t>)(1-3)); or</w:t>
            </w:r>
          </w:p>
          <w:p w14:paraId="4C720D69" w14:textId="77777777" w:rsidR="007F2695" w:rsidRPr="00C34128" w:rsidRDefault="007F2695">
            <w:pPr>
              <w:widowControl w:val="0"/>
              <w:numPr>
                <w:ilvl w:val="0"/>
                <w:numId w:val="6"/>
              </w:numPr>
              <w:tabs>
                <w:tab w:val="clear" w:pos="1080"/>
                <w:tab w:val="num" w:pos="180"/>
              </w:tabs>
              <w:ind w:left="180" w:hanging="180"/>
              <w:rPr>
                <w:rFonts w:ascii="Arial" w:hAnsi="Arial" w:cs="Arial"/>
                <w:sz w:val="18"/>
              </w:rPr>
            </w:pPr>
            <w:r w:rsidRPr="00C34128">
              <w:rPr>
                <w:rFonts w:ascii="Arial" w:hAnsi="Arial" w:cs="Arial"/>
                <w:sz w:val="18"/>
              </w:rPr>
              <w:t xml:space="preserve">the officer is related within the second degree by affinity or consanguinity, as determined under Chapter 573 of the Texas Government Code, to an individual seeking to transact investment business with the entity. </w:t>
            </w:r>
            <w:r w:rsidRPr="00C34128">
              <w:rPr>
                <w:rFonts w:ascii="Arial" w:hAnsi="Arial" w:cs="Arial"/>
                <w:b/>
                <w:bCs/>
                <w:sz w:val="18"/>
              </w:rPr>
              <w:t>PFIA 2256.005 (</w:t>
            </w:r>
            <w:proofErr w:type="spellStart"/>
            <w:r w:rsidRPr="00C34128">
              <w:rPr>
                <w:rFonts w:ascii="Arial" w:hAnsi="Arial" w:cs="Arial"/>
                <w:b/>
                <w:bCs/>
                <w:sz w:val="18"/>
              </w:rPr>
              <w:t>i</w:t>
            </w:r>
            <w:proofErr w:type="spellEnd"/>
            <w:r w:rsidRPr="00C34128">
              <w:rPr>
                <w:rFonts w:ascii="Arial" w:hAnsi="Arial" w:cs="Arial"/>
                <w:b/>
                <w:bCs/>
                <w:sz w:val="18"/>
              </w:rPr>
              <w:t>)</w:t>
            </w:r>
          </w:p>
        </w:tc>
        <w:tc>
          <w:tcPr>
            <w:tcW w:w="1303" w:type="dxa"/>
            <w:vAlign w:val="center"/>
          </w:tcPr>
          <w:p w14:paraId="4E795A26" w14:textId="77777777" w:rsidR="007F2695" w:rsidRPr="00C34128" w:rsidRDefault="007F2695">
            <w:pPr>
              <w:pStyle w:val="Heading4"/>
              <w:rPr>
                <w:rFonts w:ascii="Arial" w:hAnsi="Arial" w:cs="Arial"/>
                <w:smallCaps/>
                <w:sz w:val="18"/>
              </w:rPr>
            </w:pPr>
          </w:p>
        </w:tc>
        <w:tc>
          <w:tcPr>
            <w:tcW w:w="2535" w:type="dxa"/>
            <w:vAlign w:val="center"/>
          </w:tcPr>
          <w:p w14:paraId="208437F4" w14:textId="77777777" w:rsidR="007F2695" w:rsidRPr="00C34128" w:rsidRDefault="007F2695">
            <w:pPr>
              <w:rPr>
                <w:rFonts w:ascii="Arial" w:hAnsi="Arial" w:cs="Arial"/>
                <w:sz w:val="18"/>
              </w:rPr>
            </w:pPr>
          </w:p>
        </w:tc>
        <w:tc>
          <w:tcPr>
            <w:tcW w:w="2894" w:type="dxa"/>
            <w:vAlign w:val="center"/>
          </w:tcPr>
          <w:p w14:paraId="0B633E72" w14:textId="77777777" w:rsidR="007F2695" w:rsidRPr="00C34128" w:rsidRDefault="007F2695">
            <w:pPr>
              <w:rPr>
                <w:rFonts w:ascii="Arial" w:hAnsi="Arial" w:cs="Arial"/>
                <w:sz w:val="18"/>
              </w:rPr>
            </w:pPr>
          </w:p>
        </w:tc>
      </w:tr>
      <w:tr w:rsidR="007F2695" w:rsidRPr="00C34128" w14:paraId="23018890" w14:textId="77777777" w:rsidTr="001801F0">
        <w:trPr>
          <w:cantSplit/>
        </w:trPr>
        <w:tc>
          <w:tcPr>
            <w:tcW w:w="4320" w:type="dxa"/>
          </w:tcPr>
          <w:p w14:paraId="59428869" w14:textId="77777777" w:rsidR="007F2695" w:rsidRPr="00C34128" w:rsidRDefault="007F2695">
            <w:pPr>
              <w:pStyle w:val="Heading3"/>
              <w:keepNext w:val="0"/>
              <w:widowControl w:val="0"/>
              <w:rPr>
                <w:rFonts w:ascii="Arial" w:hAnsi="Arial" w:cs="Arial"/>
                <w:sz w:val="18"/>
              </w:rPr>
            </w:pPr>
            <w:r w:rsidRPr="00C34128">
              <w:rPr>
                <w:rFonts w:ascii="Arial" w:hAnsi="Arial" w:cs="Arial"/>
                <w:sz w:val="18"/>
              </w:rPr>
              <w:lastRenderedPageBreak/>
              <w:t>Delegation of Investment Authority</w:t>
            </w:r>
          </w:p>
          <w:p w14:paraId="6878155C" w14:textId="77777777" w:rsidR="007F2695" w:rsidRPr="00C34128" w:rsidRDefault="007F2695">
            <w:pPr>
              <w:widowControl w:val="0"/>
              <w:rPr>
                <w:rFonts w:ascii="Arial" w:hAnsi="Arial" w:cs="Arial"/>
                <w:sz w:val="18"/>
              </w:rPr>
            </w:pPr>
            <w:r w:rsidRPr="00C34128">
              <w:rPr>
                <w:rFonts w:ascii="Arial" w:hAnsi="Arial" w:cs="Arial"/>
                <w:sz w:val="18"/>
              </w:rPr>
              <w:t xml:space="preserve">Investment Policy must designate one or more officers of the entity as the investment officer(s) responsible for the investment of its funds (does not apply to a state agency, local government, or investment pool for which an officer of the entity is assigned by law the function of investing funds). </w:t>
            </w:r>
            <w:r w:rsidRPr="00C34128">
              <w:rPr>
                <w:rFonts w:ascii="Arial" w:hAnsi="Arial" w:cs="Arial"/>
                <w:b/>
                <w:bCs/>
                <w:sz w:val="18"/>
              </w:rPr>
              <w:t>PFIA 2256.005 (f)</w:t>
            </w:r>
          </w:p>
        </w:tc>
        <w:tc>
          <w:tcPr>
            <w:tcW w:w="1303" w:type="dxa"/>
            <w:vAlign w:val="center"/>
          </w:tcPr>
          <w:p w14:paraId="61D855DE" w14:textId="77777777" w:rsidR="007F2695" w:rsidRPr="00C34128" w:rsidRDefault="007F2695">
            <w:pPr>
              <w:pStyle w:val="Heading4"/>
              <w:rPr>
                <w:rFonts w:ascii="Arial" w:hAnsi="Arial" w:cs="Arial"/>
                <w:smallCaps/>
                <w:sz w:val="18"/>
              </w:rPr>
            </w:pPr>
          </w:p>
        </w:tc>
        <w:tc>
          <w:tcPr>
            <w:tcW w:w="2535" w:type="dxa"/>
            <w:vAlign w:val="center"/>
          </w:tcPr>
          <w:p w14:paraId="4363119F" w14:textId="77777777" w:rsidR="007F2695" w:rsidRPr="00C34128" w:rsidRDefault="007F2695">
            <w:pPr>
              <w:rPr>
                <w:rFonts w:ascii="Arial" w:hAnsi="Arial" w:cs="Arial"/>
                <w:sz w:val="18"/>
              </w:rPr>
            </w:pPr>
          </w:p>
        </w:tc>
        <w:tc>
          <w:tcPr>
            <w:tcW w:w="2894" w:type="dxa"/>
            <w:vAlign w:val="center"/>
          </w:tcPr>
          <w:p w14:paraId="4AA7D0C9" w14:textId="77777777" w:rsidR="007F2695" w:rsidRPr="00C34128" w:rsidRDefault="007F2695">
            <w:pPr>
              <w:rPr>
                <w:rFonts w:ascii="Arial" w:hAnsi="Arial" w:cs="Arial"/>
                <w:sz w:val="18"/>
              </w:rPr>
            </w:pPr>
          </w:p>
        </w:tc>
      </w:tr>
      <w:tr w:rsidR="007F2695" w:rsidRPr="00C34128" w14:paraId="5425251C" w14:textId="77777777" w:rsidTr="001801F0">
        <w:trPr>
          <w:cantSplit/>
        </w:trPr>
        <w:tc>
          <w:tcPr>
            <w:tcW w:w="4320" w:type="dxa"/>
          </w:tcPr>
          <w:p w14:paraId="0CE0B21D" w14:textId="77777777" w:rsidR="007F2695" w:rsidRPr="00C34128" w:rsidRDefault="007F2695">
            <w:pPr>
              <w:pStyle w:val="Heading3"/>
              <w:keepNext w:val="0"/>
              <w:widowControl w:val="0"/>
              <w:rPr>
                <w:rFonts w:ascii="Arial" w:hAnsi="Arial" w:cs="Arial"/>
                <w:sz w:val="18"/>
              </w:rPr>
            </w:pPr>
            <w:r w:rsidRPr="00C34128">
              <w:rPr>
                <w:rFonts w:ascii="Arial" w:hAnsi="Arial" w:cs="Arial"/>
                <w:sz w:val="18"/>
              </w:rPr>
              <w:t>Investment Training</w:t>
            </w:r>
          </w:p>
          <w:p w14:paraId="231DC60C" w14:textId="2E2979B0" w:rsidR="007F2695" w:rsidRPr="00C34128" w:rsidRDefault="007F2695" w:rsidP="006D17B8">
            <w:pPr>
              <w:widowControl w:val="0"/>
              <w:rPr>
                <w:rFonts w:ascii="Arial" w:hAnsi="Arial" w:cs="Arial"/>
                <w:sz w:val="18"/>
              </w:rPr>
            </w:pPr>
            <w:r w:rsidRPr="00C34128">
              <w:rPr>
                <w:rFonts w:ascii="Arial" w:hAnsi="Arial" w:cs="Arial"/>
                <w:sz w:val="18"/>
              </w:rPr>
              <w:t xml:space="preserve">Investment training is required for the treasurer, CFO, and the investment officer(s) of a local government (see 2256.007 for training requirements for state agencies). Training must be received from an independent source, </w:t>
            </w:r>
            <w:r w:rsidRPr="00C34128">
              <w:rPr>
                <w:rFonts w:ascii="Arial" w:hAnsi="Arial" w:cs="Arial"/>
                <w:i/>
                <w:iCs/>
                <w:sz w:val="18"/>
              </w:rPr>
              <w:t>approved by the entity’s governing body or investment committee,</w:t>
            </w:r>
            <w:r w:rsidRPr="00C34128">
              <w:rPr>
                <w:rFonts w:ascii="Arial" w:hAnsi="Arial" w:cs="Arial"/>
                <w:sz w:val="18"/>
              </w:rPr>
              <w:t xml:space="preserve"> and must include education in investment controls, security risks, strategy risks, market risks, diversification of investment portfolio, and compliance with PFIA. </w:t>
            </w:r>
            <w:r w:rsidR="006D17B8">
              <w:rPr>
                <w:rFonts w:ascii="Arial" w:hAnsi="Arial" w:cs="Arial"/>
                <w:sz w:val="18"/>
              </w:rPr>
              <w:t xml:space="preserve">The </w:t>
            </w:r>
            <w:r w:rsidRPr="00C34128">
              <w:rPr>
                <w:rFonts w:ascii="Arial" w:hAnsi="Arial" w:cs="Arial"/>
                <w:sz w:val="18"/>
              </w:rPr>
              <w:t xml:space="preserve">hours of training </w:t>
            </w:r>
            <w:r w:rsidR="006D17B8">
              <w:rPr>
                <w:rFonts w:ascii="Arial" w:hAnsi="Arial" w:cs="Arial"/>
                <w:sz w:val="18"/>
              </w:rPr>
              <w:t xml:space="preserve">vary and </w:t>
            </w:r>
            <w:r w:rsidRPr="00C34128">
              <w:rPr>
                <w:rFonts w:ascii="Arial" w:hAnsi="Arial" w:cs="Arial"/>
                <w:sz w:val="18"/>
              </w:rPr>
              <w:t xml:space="preserve">must be completed within </w:t>
            </w:r>
            <w:r w:rsidR="006D17B8">
              <w:rPr>
                <w:rFonts w:ascii="Arial" w:hAnsi="Arial" w:cs="Arial"/>
                <w:sz w:val="18"/>
              </w:rPr>
              <w:t>a specific number of m</w:t>
            </w:r>
            <w:r w:rsidRPr="00C34128">
              <w:rPr>
                <w:rFonts w:ascii="Arial" w:hAnsi="Arial" w:cs="Arial"/>
                <w:sz w:val="18"/>
              </w:rPr>
              <w:t xml:space="preserve">onths of taking office or assuming duties. Thereafter, </w:t>
            </w:r>
            <w:r w:rsidR="006D17B8">
              <w:rPr>
                <w:rFonts w:ascii="Arial" w:hAnsi="Arial" w:cs="Arial"/>
                <w:sz w:val="18"/>
              </w:rPr>
              <w:t xml:space="preserve">renewal </w:t>
            </w:r>
            <w:r w:rsidRPr="00C34128">
              <w:rPr>
                <w:rFonts w:ascii="Arial" w:hAnsi="Arial" w:cs="Arial"/>
                <w:sz w:val="18"/>
              </w:rPr>
              <w:t xml:space="preserve">training </w:t>
            </w:r>
            <w:r w:rsidR="006D17B8">
              <w:rPr>
                <w:rFonts w:ascii="Arial" w:hAnsi="Arial" w:cs="Arial"/>
                <w:sz w:val="18"/>
              </w:rPr>
              <w:t xml:space="preserve">hours </w:t>
            </w:r>
            <w:r w:rsidRPr="00C34128">
              <w:rPr>
                <w:rFonts w:ascii="Arial" w:hAnsi="Arial" w:cs="Arial"/>
                <w:sz w:val="18"/>
              </w:rPr>
              <w:t xml:space="preserve">must be completed every two years. </w:t>
            </w:r>
            <w:r w:rsidR="00746A16">
              <w:rPr>
                <w:rFonts w:ascii="Arial" w:hAnsi="Arial" w:cs="Arial"/>
                <w:sz w:val="18"/>
              </w:rPr>
              <w:t xml:space="preserve">(State Agencies, Higher Education, and Community Colleges training cycles are concurrent with the state fiscal biennium.) (Local governments training cycles are concurrent with the government s’ fiscal year.) </w:t>
            </w:r>
            <w:r w:rsidR="006D17B8">
              <w:rPr>
                <w:rFonts w:ascii="Arial" w:hAnsi="Arial" w:cs="Arial"/>
                <w:sz w:val="18"/>
              </w:rPr>
              <w:t xml:space="preserve">Training hours vary with entity types and investment holdings of municipalities and schools with local investments. Training requirements can be viewed at </w:t>
            </w:r>
            <w:hyperlink r:id="rId10" w:history="1">
              <w:r w:rsidR="00B56D27" w:rsidRPr="00B56D27">
                <w:rPr>
                  <w:rStyle w:val="Hyperlink"/>
                  <w:rFonts w:ascii="Arial" w:hAnsi="Arial" w:cs="Arial"/>
                  <w:sz w:val="18"/>
                </w:rPr>
                <w:t>https://gtot.nctcog.org/training/pfia-workshops/training-requirements</w:t>
              </w:r>
            </w:hyperlink>
            <w:r w:rsidR="006D17B8">
              <w:rPr>
                <w:rFonts w:ascii="Arial" w:hAnsi="Arial" w:cs="Arial"/>
                <w:sz w:val="18"/>
              </w:rPr>
              <w:t xml:space="preserve">.  </w:t>
            </w:r>
            <w:r w:rsidRPr="00C34128">
              <w:rPr>
                <w:rFonts w:ascii="Arial" w:hAnsi="Arial" w:cs="Arial"/>
                <w:b/>
                <w:bCs/>
                <w:sz w:val="18"/>
              </w:rPr>
              <w:t>PFIA 2256.008</w:t>
            </w:r>
          </w:p>
        </w:tc>
        <w:tc>
          <w:tcPr>
            <w:tcW w:w="1303" w:type="dxa"/>
            <w:vAlign w:val="center"/>
          </w:tcPr>
          <w:p w14:paraId="48438716" w14:textId="77777777" w:rsidR="007F2695" w:rsidRPr="00C34128" w:rsidRDefault="007F2695">
            <w:pPr>
              <w:pStyle w:val="Heading4"/>
              <w:rPr>
                <w:rFonts w:ascii="Arial" w:hAnsi="Arial" w:cs="Arial"/>
                <w:smallCaps/>
                <w:sz w:val="18"/>
              </w:rPr>
            </w:pPr>
          </w:p>
        </w:tc>
        <w:tc>
          <w:tcPr>
            <w:tcW w:w="2535" w:type="dxa"/>
            <w:vAlign w:val="center"/>
          </w:tcPr>
          <w:p w14:paraId="61A230D4" w14:textId="77777777" w:rsidR="007F2695" w:rsidRPr="00C34128" w:rsidRDefault="007F2695">
            <w:pPr>
              <w:rPr>
                <w:rFonts w:ascii="Arial" w:hAnsi="Arial" w:cs="Arial"/>
                <w:sz w:val="18"/>
              </w:rPr>
            </w:pPr>
          </w:p>
        </w:tc>
        <w:tc>
          <w:tcPr>
            <w:tcW w:w="2894" w:type="dxa"/>
            <w:vAlign w:val="center"/>
          </w:tcPr>
          <w:p w14:paraId="26382D0D" w14:textId="77777777" w:rsidR="007F2695" w:rsidRPr="00C34128" w:rsidRDefault="007F2695">
            <w:pPr>
              <w:rPr>
                <w:rFonts w:ascii="Arial" w:hAnsi="Arial" w:cs="Arial"/>
                <w:sz w:val="18"/>
              </w:rPr>
            </w:pPr>
          </w:p>
        </w:tc>
      </w:tr>
      <w:tr w:rsidR="007F2695" w:rsidRPr="00C34128" w14:paraId="07FDAE54" w14:textId="77777777" w:rsidTr="001801F0">
        <w:trPr>
          <w:cantSplit/>
        </w:trPr>
        <w:tc>
          <w:tcPr>
            <w:tcW w:w="4320" w:type="dxa"/>
          </w:tcPr>
          <w:p w14:paraId="300D97C3" w14:textId="77777777" w:rsidR="007F2695" w:rsidRPr="00C34128" w:rsidRDefault="007F2695">
            <w:pPr>
              <w:pStyle w:val="Heading3"/>
              <w:keepNext w:val="0"/>
              <w:widowControl w:val="0"/>
              <w:rPr>
                <w:rFonts w:ascii="Arial" w:hAnsi="Arial" w:cs="Arial"/>
                <w:sz w:val="18"/>
              </w:rPr>
            </w:pPr>
            <w:r w:rsidRPr="00C34128">
              <w:rPr>
                <w:rFonts w:ascii="Arial" w:hAnsi="Arial" w:cs="Arial"/>
                <w:sz w:val="18"/>
              </w:rPr>
              <w:lastRenderedPageBreak/>
              <w:t>Signed Investment Policy Certification form</w:t>
            </w:r>
          </w:p>
          <w:p w14:paraId="1483DF98" w14:textId="77777777" w:rsidR="00612566" w:rsidRPr="00612566" w:rsidRDefault="00612566" w:rsidP="00612566">
            <w:pPr>
              <w:widowControl w:val="0"/>
              <w:rPr>
                <w:rFonts w:ascii="Arial" w:hAnsi="Arial" w:cs="Arial"/>
                <w:sz w:val="18"/>
              </w:rPr>
            </w:pPr>
            <w:r w:rsidRPr="00612566">
              <w:rPr>
                <w:rFonts w:ascii="Arial" w:hAnsi="Arial" w:cs="Arial"/>
                <w:sz w:val="18"/>
              </w:rPr>
              <w:t>HB 1701 changes “person” to “business organization” and narrowly defines business organization as either an investment pool or an investment management firm under contract to manage the entity’s portfolio with discretionary authority.  Very few investment management contracts for public funds grant such discretion, meaning investment pools will generally be the only organizations still required to sign this certification.  This bill has all but killed the legal requirement for the policy certification</w:t>
            </w:r>
            <w:r w:rsidR="000F7187">
              <w:rPr>
                <w:rFonts w:ascii="Arial" w:hAnsi="Arial" w:cs="Arial"/>
                <w:sz w:val="18"/>
              </w:rPr>
              <w:t xml:space="preserve">; </w:t>
            </w:r>
            <w:r w:rsidRPr="00612566">
              <w:rPr>
                <w:rFonts w:ascii="Arial" w:hAnsi="Arial" w:cs="Arial"/>
                <w:sz w:val="18"/>
              </w:rPr>
              <w:t xml:space="preserve">Public entities may wish to revise their investment policy as it seems likely that brokers, absolved of this legal requirement, may no longer be willing to sign those certifications. </w:t>
            </w:r>
          </w:p>
          <w:p w14:paraId="22259633" w14:textId="77777777" w:rsidR="00612566" w:rsidRPr="00612566" w:rsidRDefault="00612566" w:rsidP="00612566">
            <w:pPr>
              <w:widowControl w:val="0"/>
              <w:rPr>
                <w:rFonts w:ascii="Arial" w:hAnsi="Arial" w:cs="Arial"/>
                <w:sz w:val="18"/>
              </w:rPr>
            </w:pPr>
          </w:p>
          <w:p w14:paraId="16FFDD0D" w14:textId="77777777" w:rsidR="006D17B8" w:rsidRDefault="00612566" w:rsidP="00612566">
            <w:pPr>
              <w:widowControl w:val="0"/>
              <w:rPr>
                <w:rFonts w:ascii="Arial" w:hAnsi="Arial" w:cs="Arial"/>
                <w:sz w:val="18"/>
              </w:rPr>
            </w:pPr>
            <w:r w:rsidRPr="00612566">
              <w:rPr>
                <w:rFonts w:ascii="Arial" w:hAnsi="Arial" w:cs="Arial"/>
                <w:sz w:val="18"/>
              </w:rPr>
              <w:t>Public entities should still provide their investment policy to their brokers, who in fact should be asking for it. Among other things, FINRA’s “Know Your Customer” rules, largely established by the suitability requirements of FINRA Rule 2111, require that brokers, “have a reasonable basis to believe that a recommendation is suitable for a particular customer based on that customer’s investment profile.” Providing the broker with your investment policy should very clearly describe your investment profile, particularly with regard to the primary objective of safety of principal.</w:t>
            </w:r>
          </w:p>
          <w:p w14:paraId="70CFE9E0" w14:textId="77777777" w:rsidR="006D17B8" w:rsidRDefault="006D17B8">
            <w:pPr>
              <w:widowControl w:val="0"/>
              <w:rPr>
                <w:rFonts w:ascii="Arial" w:hAnsi="Arial" w:cs="Arial"/>
                <w:sz w:val="18"/>
              </w:rPr>
            </w:pPr>
          </w:p>
          <w:p w14:paraId="734C3261" w14:textId="77777777" w:rsidR="007F2695" w:rsidRPr="00C34128" w:rsidRDefault="00612566">
            <w:pPr>
              <w:widowControl w:val="0"/>
              <w:rPr>
                <w:rFonts w:ascii="Arial" w:hAnsi="Arial" w:cs="Arial"/>
                <w:sz w:val="18"/>
              </w:rPr>
            </w:pPr>
            <w:r>
              <w:rPr>
                <w:rFonts w:ascii="Arial" w:hAnsi="Arial" w:cs="Arial"/>
                <w:sz w:val="18"/>
              </w:rPr>
              <w:t xml:space="preserve">Compliant certification includes </w:t>
            </w:r>
            <w:r w:rsidR="007F2695" w:rsidRPr="00C34128">
              <w:rPr>
                <w:rFonts w:ascii="Arial" w:hAnsi="Arial" w:cs="Arial"/>
                <w:sz w:val="18"/>
              </w:rPr>
              <w:t>acknowledging that the business organization has:</w:t>
            </w:r>
          </w:p>
          <w:p w14:paraId="4D35A4C1" w14:textId="77777777" w:rsidR="007F2695" w:rsidRPr="00C34128" w:rsidRDefault="007F2695">
            <w:pPr>
              <w:widowControl w:val="0"/>
              <w:numPr>
                <w:ilvl w:val="0"/>
                <w:numId w:val="7"/>
              </w:numPr>
              <w:tabs>
                <w:tab w:val="clear" w:pos="1080"/>
                <w:tab w:val="num" w:pos="180"/>
              </w:tabs>
              <w:ind w:left="180" w:hanging="180"/>
              <w:rPr>
                <w:rFonts w:ascii="Arial" w:hAnsi="Arial" w:cs="Arial"/>
                <w:sz w:val="18"/>
              </w:rPr>
            </w:pPr>
            <w:r w:rsidRPr="00C34128">
              <w:rPr>
                <w:rFonts w:ascii="Arial" w:hAnsi="Arial" w:cs="Arial"/>
                <w:sz w:val="18"/>
              </w:rPr>
              <w:t>received and reviewed the entity’s Investment Policy; and</w:t>
            </w:r>
          </w:p>
          <w:p w14:paraId="1DFE6126" w14:textId="77777777" w:rsidR="007F2695" w:rsidRPr="00C34128" w:rsidRDefault="007F2695">
            <w:pPr>
              <w:pStyle w:val="Heading3"/>
              <w:keepNext w:val="0"/>
              <w:widowControl w:val="0"/>
              <w:numPr>
                <w:ilvl w:val="0"/>
                <w:numId w:val="7"/>
              </w:numPr>
              <w:tabs>
                <w:tab w:val="clear" w:pos="1080"/>
                <w:tab w:val="num" w:pos="180"/>
              </w:tabs>
              <w:ind w:left="180" w:hanging="180"/>
              <w:rPr>
                <w:rFonts w:ascii="Arial" w:hAnsi="Arial" w:cs="Arial"/>
                <w:b w:val="0"/>
                <w:bCs w:val="0"/>
                <w:sz w:val="18"/>
              </w:rPr>
            </w:pPr>
            <w:r w:rsidRPr="00C34128">
              <w:rPr>
                <w:rFonts w:ascii="Arial" w:hAnsi="Arial" w:cs="Arial"/>
                <w:b w:val="0"/>
                <w:bCs w:val="0"/>
                <w:sz w:val="18"/>
              </w:rPr>
              <w:t>implemented reasonable procedures and controls in an effort to preclude investment transactions conducted between the entity and the organization that are not authorized by the entity’s Investment Policy, except to the extent that this authorization is dependent on an analysis of the makeup of the entity’s entire portfolio or requires an interpretation of subjective investment standards.</w:t>
            </w:r>
            <w:r w:rsidRPr="00C34128">
              <w:rPr>
                <w:rFonts w:ascii="Arial" w:hAnsi="Arial" w:cs="Arial"/>
                <w:sz w:val="18"/>
              </w:rPr>
              <w:t xml:space="preserve"> PFIA 2256.005 (k-l)</w:t>
            </w:r>
          </w:p>
        </w:tc>
        <w:tc>
          <w:tcPr>
            <w:tcW w:w="1303" w:type="dxa"/>
            <w:vAlign w:val="center"/>
          </w:tcPr>
          <w:p w14:paraId="42E1AAE6" w14:textId="77777777" w:rsidR="007F2695" w:rsidRPr="00C34128" w:rsidRDefault="007F2695">
            <w:pPr>
              <w:jc w:val="center"/>
              <w:rPr>
                <w:rFonts w:ascii="Arial" w:hAnsi="Arial" w:cs="Arial"/>
                <w:b/>
                <w:bCs/>
                <w:smallCaps/>
                <w:sz w:val="18"/>
              </w:rPr>
            </w:pPr>
          </w:p>
        </w:tc>
        <w:tc>
          <w:tcPr>
            <w:tcW w:w="2535" w:type="dxa"/>
            <w:vAlign w:val="center"/>
          </w:tcPr>
          <w:p w14:paraId="666606F4" w14:textId="77777777" w:rsidR="007F2695" w:rsidRPr="00C34128" w:rsidRDefault="007F2695">
            <w:pPr>
              <w:rPr>
                <w:rFonts w:ascii="Arial" w:hAnsi="Arial" w:cs="Arial"/>
                <w:sz w:val="18"/>
              </w:rPr>
            </w:pPr>
          </w:p>
        </w:tc>
        <w:tc>
          <w:tcPr>
            <w:tcW w:w="2894" w:type="dxa"/>
            <w:vAlign w:val="center"/>
          </w:tcPr>
          <w:p w14:paraId="7325B0D4" w14:textId="77777777" w:rsidR="007F2695" w:rsidRPr="00C34128" w:rsidRDefault="007F2695">
            <w:pPr>
              <w:rPr>
                <w:rFonts w:ascii="Arial" w:hAnsi="Arial" w:cs="Arial"/>
                <w:sz w:val="18"/>
              </w:rPr>
            </w:pPr>
          </w:p>
        </w:tc>
      </w:tr>
      <w:tr w:rsidR="007F2695" w:rsidRPr="00C34128" w14:paraId="69E06F69" w14:textId="77777777" w:rsidTr="001801F0">
        <w:trPr>
          <w:cantSplit/>
        </w:trPr>
        <w:tc>
          <w:tcPr>
            <w:tcW w:w="4320" w:type="dxa"/>
          </w:tcPr>
          <w:p w14:paraId="2A1582FD" w14:textId="77777777" w:rsidR="007F2695" w:rsidRPr="00C34128" w:rsidRDefault="007F2695">
            <w:pPr>
              <w:pStyle w:val="Heading3"/>
              <w:keepNext w:val="0"/>
              <w:widowControl w:val="0"/>
              <w:rPr>
                <w:rFonts w:ascii="Arial" w:hAnsi="Arial" w:cs="Arial"/>
                <w:sz w:val="18"/>
              </w:rPr>
            </w:pPr>
            <w:r w:rsidRPr="00C34128">
              <w:rPr>
                <w:rFonts w:ascii="Arial" w:hAnsi="Arial" w:cs="Arial"/>
                <w:sz w:val="18"/>
              </w:rPr>
              <w:t>Establishment and annual review of qualified bidders list</w:t>
            </w:r>
          </w:p>
          <w:p w14:paraId="164EFFC6" w14:textId="77777777" w:rsidR="007F2695" w:rsidRPr="00C34128" w:rsidRDefault="007F2695">
            <w:pPr>
              <w:pStyle w:val="Heading3"/>
              <w:keepNext w:val="0"/>
              <w:widowControl w:val="0"/>
              <w:rPr>
                <w:rFonts w:ascii="Arial" w:hAnsi="Arial" w:cs="Arial"/>
                <w:sz w:val="18"/>
              </w:rPr>
            </w:pPr>
            <w:r w:rsidRPr="00C34128">
              <w:rPr>
                <w:rFonts w:ascii="Arial" w:hAnsi="Arial" w:cs="Arial"/>
                <w:b w:val="0"/>
                <w:bCs w:val="0"/>
                <w:sz w:val="18"/>
              </w:rPr>
              <w:t>Investment Policy must require either the entity’s governing body, or its Investment Committee to, at least annually, review, revise, and adopt a list of qualified brokers that are authorized to engage in investment transactions with the entity.</w:t>
            </w:r>
            <w:r w:rsidRPr="00C34128">
              <w:rPr>
                <w:rFonts w:ascii="Arial" w:hAnsi="Arial" w:cs="Arial"/>
                <w:sz w:val="18"/>
              </w:rPr>
              <w:t xml:space="preserve"> PFIA 2256.025</w:t>
            </w:r>
          </w:p>
        </w:tc>
        <w:tc>
          <w:tcPr>
            <w:tcW w:w="1303" w:type="dxa"/>
            <w:vAlign w:val="center"/>
          </w:tcPr>
          <w:p w14:paraId="6FB71CED" w14:textId="77777777" w:rsidR="007F2695" w:rsidRPr="00C34128" w:rsidRDefault="007F2695">
            <w:pPr>
              <w:jc w:val="center"/>
              <w:rPr>
                <w:rFonts w:ascii="Arial" w:hAnsi="Arial" w:cs="Arial"/>
                <w:b/>
                <w:bCs/>
                <w:smallCaps/>
                <w:sz w:val="18"/>
              </w:rPr>
            </w:pPr>
          </w:p>
        </w:tc>
        <w:tc>
          <w:tcPr>
            <w:tcW w:w="2535" w:type="dxa"/>
            <w:vAlign w:val="center"/>
          </w:tcPr>
          <w:p w14:paraId="5EDDB3AC" w14:textId="77777777" w:rsidR="007F2695" w:rsidRPr="00C34128" w:rsidRDefault="007F2695">
            <w:pPr>
              <w:rPr>
                <w:rFonts w:ascii="Arial" w:hAnsi="Arial" w:cs="Arial"/>
                <w:sz w:val="18"/>
              </w:rPr>
            </w:pPr>
          </w:p>
        </w:tc>
        <w:tc>
          <w:tcPr>
            <w:tcW w:w="2894" w:type="dxa"/>
            <w:vAlign w:val="center"/>
          </w:tcPr>
          <w:p w14:paraId="7A42A5D2" w14:textId="77777777" w:rsidR="007F2695" w:rsidRPr="00C34128" w:rsidRDefault="007F2695">
            <w:pPr>
              <w:rPr>
                <w:rFonts w:ascii="Arial" w:hAnsi="Arial" w:cs="Arial"/>
                <w:sz w:val="18"/>
              </w:rPr>
            </w:pPr>
          </w:p>
        </w:tc>
      </w:tr>
      <w:tr w:rsidR="007F2695" w:rsidRPr="00C34128" w14:paraId="1B1D8791" w14:textId="77777777" w:rsidTr="001801F0">
        <w:trPr>
          <w:cantSplit/>
        </w:trPr>
        <w:tc>
          <w:tcPr>
            <w:tcW w:w="4320" w:type="dxa"/>
          </w:tcPr>
          <w:p w14:paraId="621EEE60" w14:textId="77777777" w:rsidR="007F2695" w:rsidRPr="00C34128" w:rsidRDefault="007F2695">
            <w:pPr>
              <w:pStyle w:val="Heading3"/>
              <w:keepNext w:val="0"/>
              <w:widowControl w:val="0"/>
              <w:rPr>
                <w:rFonts w:ascii="Arial" w:hAnsi="Arial" w:cs="Arial"/>
                <w:b w:val="0"/>
                <w:bCs w:val="0"/>
                <w:sz w:val="18"/>
              </w:rPr>
            </w:pPr>
            <w:r w:rsidRPr="00C34128">
              <w:rPr>
                <w:rFonts w:ascii="Arial" w:hAnsi="Arial" w:cs="Arial"/>
                <w:sz w:val="18"/>
              </w:rPr>
              <w:t>Independent Third-Party Safekeeping</w:t>
            </w:r>
          </w:p>
          <w:p w14:paraId="57ABD3E8" w14:textId="77777777" w:rsidR="007F2695" w:rsidRPr="00C34128" w:rsidRDefault="007F2695">
            <w:pPr>
              <w:widowControl w:val="0"/>
              <w:rPr>
                <w:rFonts w:ascii="Arial" w:hAnsi="Arial" w:cs="Arial"/>
                <w:sz w:val="18"/>
              </w:rPr>
            </w:pPr>
            <w:r w:rsidRPr="00C34128">
              <w:rPr>
                <w:rFonts w:ascii="Arial" w:hAnsi="Arial" w:cs="Arial"/>
                <w:sz w:val="18"/>
              </w:rPr>
              <w:t xml:space="preserve">Securities and collateral will be held by a </w:t>
            </w:r>
            <w:r w:rsidR="000F7187" w:rsidRPr="00C34128">
              <w:rPr>
                <w:rFonts w:ascii="Arial" w:hAnsi="Arial" w:cs="Arial"/>
                <w:sz w:val="18"/>
              </w:rPr>
              <w:t>third-party</w:t>
            </w:r>
            <w:r w:rsidRPr="00C34128">
              <w:rPr>
                <w:rFonts w:ascii="Arial" w:hAnsi="Arial" w:cs="Arial"/>
                <w:sz w:val="18"/>
              </w:rPr>
              <w:t xml:space="preserve"> custodian designated by the entity, and held in the entity’s name as evidenced by safekeeping receipts of the institution with which the securities are deposited.</w:t>
            </w:r>
          </w:p>
        </w:tc>
        <w:tc>
          <w:tcPr>
            <w:tcW w:w="1303" w:type="dxa"/>
            <w:vAlign w:val="center"/>
          </w:tcPr>
          <w:p w14:paraId="75ED4EDC" w14:textId="77777777" w:rsidR="007F2695" w:rsidRPr="00C34128" w:rsidRDefault="007F2695">
            <w:pPr>
              <w:jc w:val="center"/>
              <w:rPr>
                <w:rFonts w:ascii="Arial" w:hAnsi="Arial" w:cs="Arial"/>
                <w:b/>
                <w:bCs/>
                <w:smallCaps/>
                <w:sz w:val="18"/>
              </w:rPr>
            </w:pPr>
          </w:p>
        </w:tc>
        <w:tc>
          <w:tcPr>
            <w:tcW w:w="2535" w:type="dxa"/>
            <w:vAlign w:val="center"/>
          </w:tcPr>
          <w:p w14:paraId="2BF7371F" w14:textId="77777777" w:rsidR="007F2695" w:rsidRPr="00C34128" w:rsidRDefault="007F2695">
            <w:pPr>
              <w:rPr>
                <w:rFonts w:ascii="Arial" w:hAnsi="Arial" w:cs="Arial"/>
                <w:sz w:val="18"/>
              </w:rPr>
            </w:pPr>
          </w:p>
        </w:tc>
        <w:tc>
          <w:tcPr>
            <w:tcW w:w="2894" w:type="dxa"/>
            <w:vAlign w:val="center"/>
          </w:tcPr>
          <w:p w14:paraId="460A7B00" w14:textId="77777777" w:rsidR="007F2695" w:rsidRPr="00C34128" w:rsidRDefault="007F2695">
            <w:pPr>
              <w:rPr>
                <w:rFonts w:ascii="Arial" w:hAnsi="Arial" w:cs="Arial"/>
                <w:sz w:val="18"/>
              </w:rPr>
            </w:pPr>
          </w:p>
        </w:tc>
      </w:tr>
      <w:tr w:rsidR="007F2695" w:rsidRPr="00C34128" w14:paraId="1036529E" w14:textId="77777777" w:rsidTr="001801F0">
        <w:trPr>
          <w:cantSplit/>
        </w:trPr>
        <w:tc>
          <w:tcPr>
            <w:tcW w:w="4320" w:type="dxa"/>
          </w:tcPr>
          <w:p w14:paraId="56E693FA" w14:textId="77777777" w:rsidR="007F2695" w:rsidRPr="00C34128" w:rsidRDefault="007F2695">
            <w:pPr>
              <w:pStyle w:val="Heading3"/>
              <w:keepNext w:val="0"/>
              <w:widowControl w:val="0"/>
              <w:rPr>
                <w:rFonts w:ascii="Arial" w:hAnsi="Arial" w:cs="Arial"/>
                <w:sz w:val="18"/>
              </w:rPr>
            </w:pPr>
            <w:r w:rsidRPr="00C34128">
              <w:rPr>
                <w:rFonts w:ascii="Arial" w:hAnsi="Arial" w:cs="Arial"/>
                <w:sz w:val="18"/>
              </w:rPr>
              <w:t>Delivery vs. Payment</w:t>
            </w:r>
          </w:p>
          <w:p w14:paraId="66C7B08A" w14:textId="77777777" w:rsidR="007F2695" w:rsidRPr="00C34128" w:rsidRDefault="007F2695">
            <w:pPr>
              <w:widowControl w:val="0"/>
              <w:rPr>
                <w:rFonts w:ascii="Arial" w:hAnsi="Arial" w:cs="Arial"/>
                <w:sz w:val="18"/>
              </w:rPr>
            </w:pPr>
            <w:r w:rsidRPr="00C34128">
              <w:rPr>
                <w:rFonts w:ascii="Arial" w:hAnsi="Arial" w:cs="Arial"/>
                <w:sz w:val="18"/>
              </w:rPr>
              <w:t xml:space="preserve">Investment Policy must require “delivery vs. payment” (DVP) settlement of all transactions, except local government investment pool and mutual fund transactions. </w:t>
            </w:r>
            <w:r w:rsidRPr="00C34128">
              <w:rPr>
                <w:rFonts w:ascii="Arial" w:hAnsi="Arial" w:cs="Arial"/>
                <w:b/>
                <w:bCs/>
                <w:sz w:val="18"/>
              </w:rPr>
              <w:t>PFIA 2256.005 (b)(4)(E)</w:t>
            </w:r>
          </w:p>
        </w:tc>
        <w:tc>
          <w:tcPr>
            <w:tcW w:w="1303" w:type="dxa"/>
            <w:vAlign w:val="center"/>
          </w:tcPr>
          <w:p w14:paraId="15CC8C5B" w14:textId="77777777" w:rsidR="007F2695" w:rsidRPr="00C34128" w:rsidRDefault="007F2695">
            <w:pPr>
              <w:jc w:val="center"/>
              <w:rPr>
                <w:rFonts w:ascii="Arial" w:hAnsi="Arial" w:cs="Arial"/>
                <w:b/>
                <w:bCs/>
                <w:smallCaps/>
                <w:sz w:val="18"/>
              </w:rPr>
            </w:pPr>
          </w:p>
        </w:tc>
        <w:tc>
          <w:tcPr>
            <w:tcW w:w="2535" w:type="dxa"/>
            <w:vAlign w:val="center"/>
          </w:tcPr>
          <w:p w14:paraId="633139F3" w14:textId="77777777" w:rsidR="007F2695" w:rsidRPr="00C34128" w:rsidRDefault="007F2695">
            <w:pPr>
              <w:rPr>
                <w:rFonts w:ascii="Arial" w:hAnsi="Arial" w:cs="Arial"/>
                <w:sz w:val="18"/>
              </w:rPr>
            </w:pPr>
          </w:p>
        </w:tc>
        <w:tc>
          <w:tcPr>
            <w:tcW w:w="2894" w:type="dxa"/>
            <w:vAlign w:val="center"/>
          </w:tcPr>
          <w:p w14:paraId="728916A3" w14:textId="77777777" w:rsidR="007F2695" w:rsidRPr="00C34128" w:rsidRDefault="007F2695">
            <w:pPr>
              <w:rPr>
                <w:rFonts w:ascii="Arial" w:hAnsi="Arial" w:cs="Arial"/>
                <w:sz w:val="18"/>
              </w:rPr>
            </w:pPr>
          </w:p>
        </w:tc>
      </w:tr>
      <w:tr w:rsidR="007F2695" w:rsidRPr="00C34128" w14:paraId="672D0291" w14:textId="77777777" w:rsidTr="001801F0">
        <w:trPr>
          <w:cantSplit/>
        </w:trPr>
        <w:tc>
          <w:tcPr>
            <w:tcW w:w="4320" w:type="dxa"/>
          </w:tcPr>
          <w:p w14:paraId="0F0C445A" w14:textId="77777777" w:rsidR="007F2695" w:rsidRPr="00C34128" w:rsidRDefault="007F2695">
            <w:pPr>
              <w:pStyle w:val="Heading3"/>
              <w:keepNext w:val="0"/>
              <w:widowControl w:val="0"/>
              <w:rPr>
                <w:rFonts w:ascii="Arial" w:hAnsi="Arial" w:cs="Arial"/>
                <w:sz w:val="18"/>
              </w:rPr>
            </w:pPr>
            <w:r w:rsidRPr="00C34128">
              <w:rPr>
                <w:rFonts w:ascii="Arial" w:hAnsi="Arial" w:cs="Arial"/>
                <w:sz w:val="18"/>
              </w:rPr>
              <w:lastRenderedPageBreak/>
              <w:t>Competitive Bidding</w:t>
            </w:r>
          </w:p>
          <w:p w14:paraId="64A6F913" w14:textId="77777777" w:rsidR="007F2695" w:rsidRPr="00C34128" w:rsidRDefault="007F2695" w:rsidP="0004003D">
            <w:pPr>
              <w:widowControl w:val="0"/>
              <w:rPr>
                <w:rFonts w:ascii="Arial" w:hAnsi="Arial" w:cs="Arial"/>
                <w:sz w:val="18"/>
              </w:rPr>
            </w:pPr>
            <w:r w:rsidRPr="00C34128">
              <w:rPr>
                <w:rFonts w:ascii="Arial" w:hAnsi="Arial" w:cs="Arial"/>
                <w:sz w:val="18"/>
              </w:rPr>
              <w:t>Investment Policy should require at least three competitive offers or bids for all individual security purchases and sales (excluding transactions with money market mutual funds</w:t>
            </w:r>
            <w:r w:rsidR="0004003D">
              <w:rPr>
                <w:rFonts w:ascii="Arial" w:hAnsi="Arial" w:cs="Arial"/>
                <w:sz w:val="18"/>
              </w:rPr>
              <w:t>,</w:t>
            </w:r>
            <w:r w:rsidRPr="00C34128">
              <w:rPr>
                <w:rFonts w:ascii="Arial" w:hAnsi="Arial" w:cs="Arial"/>
                <w:sz w:val="18"/>
              </w:rPr>
              <w:t xml:space="preserve"> local government investment </w:t>
            </w:r>
            <w:r w:rsidRPr="008B035B">
              <w:rPr>
                <w:rFonts w:ascii="Arial" w:hAnsi="Arial" w:cs="Arial"/>
                <w:sz w:val="18"/>
              </w:rPr>
              <w:t>pools</w:t>
            </w:r>
            <w:r w:rsidR="0004003D" w:rsidRPr="008B035B">
              <w:rPr>
                <w:rFonts w:ascii="Arial" w:hAnsi="Arial" w:cs="Arial"/>
                <w:sz w:val="18"/>
              </w:rPr>
              <w:t xml:space="preserve"> and when issued securities</w:t>
            </w:r>
            <w:r w:rsidRPr="00C34128">
              <w:rPr>
                <w:rFonts w:ascii="Arial" w:hAnsi="Arial" w:cs="Arial"/>
                <w:sz w:val="18"/>
              </w:rPr>
              <w:t xml:space="preserve">, which are deemed to be made at prevailing market rates). </w:t>
            </w:r>
          </w:p>
        </w:tc>
        <w:tc>
          <w:tcPr>
            <w:tcW w:w="1303" w:type="dxa"/>
            <w:vAlign w:val="center"/>
          </w:tcPr>
          <w:p w14:paraId="74AE3992" w14:textId="77777777" w:rsidR="007F2695" w:rsidRPr="00C34128" w:rsidRDefault="007F2695">
            <w:pPr>
              <w:jc w:val="center"/>
              <w:rPr>
                <w:rFonts w:ascii="Arial" w:hAnsi="Arial" w:cs="Arial"/>
                <w:smallCaps/>
                <w:sz w:val="18"/>
              </w:rPr>
            </w:pPr>
          </w:p>
        </w:tc>
        <w:tc>
          <w:tcPr>
            <w:tcW w:w="2535" w:type="dxa"/>
            <w:vAlign w:val="center"/>
          </w:tcPr>
          <w:p w14:paraId="5AE396EA" w14:textId="77777777" w:rsidR="007F2695" w:rsidRPr="00C34128" w:rsidRDefault="007F2695">
            <w:pPr>
              <w:rPr>
                <w:rFonts w:ascii="Arial" w:hAnsi="Arial" w:cs="Arial"/>
                <w:sz w:val="18"/>
              </w:rPr>
            </w:pPr>
          </w:p>
        </w:tc>
        <w:tc>
          <w:tcPr>
            <w:tcW w:w="2894" w:type="dxa"/>
            <w:vAlign w:val="center"/>
          </w:tcPr>
          <w:p w14:paraId="68217907" w14:textId="77777777" w:rsidR="007F2695" w:rsidRPr="00C34128" w:rsidRDefault="007F2695">
            <w:pPr>
              <w:rPr>
                <w:rFonts w:ascii="Arial" w:hAnsi="Arial" w:cs="Arial"/>
                <w:sz w:val="18"/>
              </w:rPr>
            </w:pPr>
          </w:p>
        </w:tc>
      </w:tr>
      <w:tr w:rsidR="007F2695" w:rsidRPr="00C34128" w14:paraId="36C2A599" w14:textId="77777777" w:rsidTr="001801F0">
        <w:trPr>
          <w:cantSplit/>
        </w:trPr>
        <w:tc>
          <w:tcPr>
            <w:tcW w:w="4320" w:type="dxa"/>
          </w:tcPr>
          <w:p w14:paraId="44C86CA3" w14:textId="77777777" w:rsidR="007F2695" w:rsidRPr="00C34128" w:rsidRDefault="007F2695">
            <w:pPr>
              <w:pStyle w:val="Heading3"/>
              <w:keepNext w:val="0"/>
              <w:widowControl w:val="0"/>
              <w:rPr>
                <w:rFonts w:ascii="Arial" w:hAnsi="Arial" w:cs="Arial"/>
                <w:sz w:val="18"/>
              </w:rPr>
            </w:pPr>
            <w:r w:rsidRPr="00C34128">
              <w:rPr>
                <w:rFonts w:ascii="Arial" w:hAnsi="Arial" w:cs="Arial"/>
                <w:sz w:val="18"/>
              </w:rPr>
              <w:t>Suitable and Authorized Investments</w:t>
            </w:r>
          </w:p>
          <w:p w14:paraId="57FC7BA3" w14:textId="77777777" w:rsidR="007F2695" w:rsidRPr="00C34128" w:rsidRDefault="007F2695">
            <w:pPr>
              <w:widowControl w:val="0"/>
              <w:rPr>
                <w:rFonts w:ascii="Arial" w:hAnsi="Arial" w:cs="Arial"/>
                <w:sz w:val="18"/>
              </w:rPr>
            </w:pPr>
            <w:r w:rsidRPr="00C34128">
              <w:rPr>
                <w:rFonts w:ascii="Arial" w:hAnsi="Arial" w:cs="Arial"/>
                <w:sz w:val="18"/>
              </w:rPr>
              <w:t xml:space="preserve">List the types of authorized investments in which the investing entity’s funds may be invested. Investments authorized by PFIA are listed in Sections 2256.009 – 2256.016 and Section 2256.019 – 2256.0201. It is recommended that investment descriptions be either directly quoted from PFIA and/or referenced to PFIA. Be sure to include minimum required ratings and maximum allowable stated maturities, where applicable. If Repurchase Agreements are an authorized investment, the policy should require execution of a “Master Repurchase Agreement”. Your policy may be more restrictive than PFIA and need not include every investment authorized by PFIA. </w:t>
            </w:r>
            <w:r w:rsidRPr="00C34128">
              <w:rPr>
                <w:rFonts w:ascii="Arial" w:hAnsi="Arial" w:cs="Arial"/>
                <w:b/>
                <w:bCs/>
                <w:sz w:val="18"/>
              </w:rPr>
              <w:t>PFIA 2256.005 (b)(4)(A-B)</w:t>
            </w:r>
            <w:r w:rsidRPr="00C34128">
              <w:rPr>
                <w:rFonts w:ascii="Arial" w:hAnsi="Arial" w:cs="Arial"/>
                <w:sz w:val="18"/>
              </w:rPr>
              <w:t xml:space="preserve"> </w:t>
            </w:r>
          </w:p>
        </w:tc>
        <w:tc>
          <w:tcPr>
            <w:tcW w:w="1303" w:type="dxa"/>
            <w:vAlign w:val="center"/>
          </w:tcPr>
          <w:p w14:paraId="0C1FEE91" w14:textId="77777777" w:rsidR="007F2695" w:rsidRPr="00C34128" w:rsidRDefault="007F2695" w:rsidP="00D07D5F">
            <w:pPr>
              <w:pStyle w:val="BodyText2"/>
              <w:rPr>
                <w:rFonts w:ascii="Arial" w:hAnsi="Arial" w:cs="Arial"/>
                <w:smallCaps/>
                <w:sz w:val="18"/>
              </w:rPr>
            </w:pPr>
          </w:p>
        </w:tc>
        <w:tc>
          <w:tcPr>
            <w:tcW w:w="2535" w:type="dxa"/>
            <w:vAlign w:val="center"/>
          </w:tcPr>
          <w:p w14:paraId="400FD5B1" w14:textId="77777777" w:rsidR="007F2695" w:rsidRPr="00C34128" w:rsidRDefault="007F2695">
            <w:pPr>
              <w:rPr>
                <w:rFonts w:ascii="Arial" w:hAnsi="Arial" w:cs="Arial"/>
                <w:sz w:val="18"/>
              </w:rPr>
            </w:pPr>
          </w:p>
        </w:tc>
        <w:tc>
          <w:tcPr>
            <w:tcW w:w="2894" w:type="dxa"/>
            <w:vAlign w:val="center"/>
          </w:tcPr>
          <w:p w14:paraId="3A85B6CD" w14:textId="77777777" w:rsidR="007F2695" w:rsidRPr="00C34128" w:rsidRDefault="007F2695">
            <w:pPr>
              <w:rPr>
                <w:rFonts w:ascii="Arial" w:hAnsi="Arial" w:cs="Arial"/>
                <w:sz w:val="18"/>
              </w:rPr>
            </w:pPr>
          </w:p>
        </w:tc>
      </w:tr>
      <w:tr w:rsidR="007F2695" w:rsidRPr="00C34128" w14:paraId="032AC9A7" w14:textId="77777777" w:rsidTr="001801F0">
        <w:trPr>
          <w:cantSplit/>
        </w:trPr>
        <w:tc>
          <w:tcPr>
            <w:tcW w:w="4320" w:type="dxa"/>
          </w:tcPr>
          <w:p w14:paraId="6457B13A" w14:textId="77777777" w:rsidR="007F2695" w:rsidRPr="00C34128" w:rsidRDefault="007F2695">
            <w:pPr>
              <w:pStyle w:val="Heading3"/>
              <w:keepNext w:val="0"/>
              <w:widowControl w:val="0"/>
              <w:rPr>
                <w:rFonts w:ascii="Arial" w:hAnsi="Arial" w:cs="Arial"/>
                <w:b w:val="0"/>
                <w:bCs w:val="0"/>
                <w:sz w:val="18"/>
              </w:rPr>
            </w:pPr>
            <w:r w:rsidRPr="00C34128">
              <w:rPr>
                <w:rFonts w:ascii="Arial" w:hAnsi="Arial" w:cs="Arial"/>
                <w:sz w:val="18"/>
              </w:rPr>
              <w:t>Prohibited Investments</w:t>
            </w:r>
          </w:p>
          <w:p w14:paraId="1336E553" w14:textId="77777777" w:rsidR="007F2695" w:rsidRPr="00C34128" w:rsidRDefault="007F2695">
            <w:pPr>
              <w:pStyle w:val="BodyText"/>
              <w:widowControl w:val="0"/>
              <w:rPr>
                <w:rFonts w:ascii="Arial" w:hAnsi="Arial" w:cs="Arial"/>
                <w:sz w:val="18"/>
              </w:rPr>
            </w:pPr>
            <w:r w:rsidRPr="00C34128">
              <w:rPr>
                <w:rFonts w:ascii="Arial" w:hAnsi="Arial" w:cs="Arial"/>
                <w:sz w:val="18"/>
              </w:rPr>
              <w:t>An entity may choose to prohibit certain investments that are authorized by PFIA. The Policy should either:</w:t>
            </w:r>
          </w:p>
          <w:p w14:paraId="3C08602B" w14:textId="77777777" w:rsidR="007F2695" w:rsidRPr="00C34128" w:rsidRDefault="007F2695">
            <w:pPr>
              <w:widowControl w:val="0"/>
              <w:numPr>
                <w:ilvl w:val="0"/>
                <w:numId w:val="8"/>
              </w:numPr>
              <w:tabs>
                <w:tab w:val="clear" w:pos="1080"/>
                <w:tab w:val="num" w:pos="0"/>
              </w:tabs>
              <w:ind w:left="180" w:hanging="180"/>
              <w:rPr>
                <w:rFonts w:ascii="Arial" w:hAnsi="Arial" w:cs="Arial"/>
                <w:sz w:val="18"/>
              </w:rPr>
            </w:pPr>
            <w:r w:rsidRPr="00C34128">
              <w:rPr>
                <w:rFonts w:ascii="Arial" w:hAnsi="Arial" w:cs="Arial"/>
                <w:sz w:val="18"/>
              </w:rPr>
              <w:t xml:space="preserve">list prohibited investments, including those specifically prohibited in </w:t>
            </w:r>
            <w:r w:rsidRPr="00C34128">
              <w:rPr>
                <w:rFonts w:ascii="Arial" w:hAnsi="Arial" w:cs="Arial"/>
                <w:b/>
                <w:bCs/>
                <w:sz w:val="18"/>
              </w:rPr>
              <w:t>PFIA 2256.009 (b)(1-4)</w:t>
            </w:r>
            <w:r w:rsidRPr="00C34128">
              <w:rPr>
                <w:rFonts w:ascii="Arial" w:hAnsi="Arial" w:cs="Arial"/>
                <w:sz w:val="18"/>
              </w:rPr>
              <w:t>; or</w:t>
            </w:r>
          </w:p>
          <w:p w14:paraId="285E223F" w14:textId="77777777" w:rsidR="007F2695" w:rsidRPr="00C34128" w:rsidRDefault="007F2695">
            <w:pPr>
              <w:widowControl w:val="0"/>
              <w:numPr>
                <w:ilvl w:val="0"/>
                <w:numId w:val="8"/>
              </w:numPr>
              <w:tabs>
                <w:tab w:val="clear" w:pos="1080"/>
                <w:tab w:val="num" w:pos="180"/>
              </w:tabs>
              <w:ind w:left="180" w:hanging="180"/>
              <w:rPr>
                <w:rFonts w:ascii="Arial" w:hAnsi="Arial" w:cs="Arial"/>
                <w:sz w:val="18"/>
              </w:rPr>
            </w:pPr>
            <w:r w:rsidRPr="00C34128">
              <w:rPr>
                <w:rFonts w:ascii="Arial" w:hAnsi="Arial" w:cs="Arial"/>
                <w:sz w:val="18"/>
              </w:rPr>
              <w:t>state only those investments listed in this section are authorized.</w:t>
            </w:r>
          </w:p>
        </w:tc>
        <w:tc>
          <w:tcPr>
            <w:tcW w:w="1303" w:type="dxa"/>
            <w:vAlign w:val="center"/>
          </w:tcPr>
          <w:p w14:paraId="3E548F72" w14:textId="77777777" w:rsidR="007F2695" w:rsidRPr="00C34128" w:rsidRDefault="007F2695">
            <w:pPr>
              <w:jc w:val="center"/>
              <w:rPr>
                <w:rFonts w:ascii="Arial" w:hAnsi="Arial" w:cs="Arial"/>
                <w:b/>
                <w:bCs/>
                <w:smallCaps/>
                <w:sz w:val="18"/>
              </w:rPr>
            </w:pPr>
          </w:p>
        </w:tc>
        <w:tc>
          <w:tcPr>
            <w:tcW w:w="2535" w:type="dxa"/>
            <w:vAlign w:val="center"/>
          </w:tcPr>
          <w:p w14:paraId="4D0FE9F8" w14:textId="77777777" w:rsidR="007F2695" w:rsidRPr="00C34128" w:rsidRDefault="007F2695">
            <w:pPr>
              <w:rPr>
                <w:rFonts w:ascii="Arial" w:hAnsi="Arial" w:cs="Arial"/>
                <w:sz w:val="18"/>
              </w:rPr>
            </w:pPr>
          </w:p>
        </w:tc>
        <w:tc>
          <w:tcPr>
            <w:tcW w:w="2894" w:type="dxa"/>
            <w:vAlign w:val="center"/>
          </w:tcPr>
          <w:p w14:paraId="768FBBF6" w14:textId="77777777" w:rsidR="007F2695" w:rsidRPr="00C34128" w:rsidRDefault="007F2695">
            <w:pPr>
              <w:rPr>
                <w:rFonts w:ascii="Arial" w:hAnsi="Arial" w:cs="Arial"/>
                <w:sz w:val="18"/>
              </w:rPr>
            </w:pPr>
          </w:p>
        </w:tc>
      </w:tr>
      <w:tr w:rsidR="007F2695" w:rsidRPr="00C34128" w14:paraId="156C8AE2" w14:textId="77777777" w:rsidTr="001801F0">
        <w:trPr>
          <w:cantSplit/>
        </w:trPr>
        <w:tc>
          <w:tcPr>
            <w:tcW w:w="4320" w:type="dxa"/>
          </w:tcPr>
          <w:p w14:paraId="1B86B3C2" w14:textId="77777777" w:rsidR="007F2695" w:rsidRPr="00C34128" w:rsidRDefault="007F2695">
            <w:pPr>
              <w:pStyle w:val="Heading3"/>
              <w:keepNext w:val="0"/>
              <w:widowControl w:val="0"/>
              <w:rPr>
                <w:rFonts w:ascii="Arial" w:hAnsi="Arial" w:cs="Arial"/>
                <w:sz w:val="18"/>
              </w:rPr>
            </w:pPr>
            <w:r w:rsidRPr="00C34128">
              <w:rPr>
                <w:rFonts w:ascii="Arial" w:hAnsi="Arial" w:cs="Arial"/>
                <w:sz w:val="18"/>
              </w:rPr>
              <w:t>Effect of Loss of Required Rating</w:t>
            </w:r>
          </w:p>
          <w:p w14:paraId="19AAD3C7" w14:textId="77777777" w:rsidR="007F2695" w:rsidRPr="00C34128" w:rsidRDefault="007F2695">
            <w:pPr>
              <w:widowControl w:val="0"/>
              <w:rPr>
                <w:rFonts w:ascii="Arial" w:hAnsi="Arial" w:cs="Arial"/>
                <w:sz w:val="18"/>
              </w:rPr>
            </w:pPr>
            <w:r w:rsidRPr="00C34128">
              <w:rPr>
                <w:rFonts w:ascii="Arial" w:hAnsi="Arial" w:cs="Arial"/>
                <w:sz w:val="18"/>
              </w:rPr>
              <w:t xml:space="preserve">All prudent measures will be taken to liquidate an investment that is downgraded to less than the required minimum rating. </w:t>
            </w:r>
            <w:r w:rsidRPr="00C34128">
              <w:rPr>
                <w:rFonts w:ascii="Arial" w:hAnsi="Arial" w:cs="Arial"/>
                <w:b/>
                <w:bCs/>
                <w:sz w:val="18"/>
              </w:rPr>
              <w:t>PFIA 2256.</w:t>
            </w:r>
            <w:r w:rsidRPr="008B035B">
              <w:rPr>
                <w:rFonts w:ascii="Arial" w:hAnsi="Arial" w:cs="Arial"/>
                <w:b/>
                <w:bCs/>
                <w:sz w:val="18"/>
              </w:rPr>
              <w:t xml:space="preserve">021 </w:t>
            </w:r>
            <w:r w:rsidR="0004003D" w:rsidRPr="008B035B">
              <w:rPr>
                <w:rFonts w:ascii="Arial" w:hAnsi="Arial" w:cs="Arial"/>
                <w:b/>
                <w:bCs/>
                <w:sz w:val="18"/>
              </w:rPr>
              <w:t>(do we need to state this twice, it was added to General Objectives)</w:t>
            </w:r>
          </w:p>
        </w:tc>
        <w:tc>
          <w:tcPr>
            <w:tcW w:w="1303" w:type="dxa"/>
            <w:vAlign w:val="center"/>
          </w:tcPr>
          <w:p w14:paraId="498B298C" w14:textId="77777777" w:rsidR="007F2695" w:rsidRPr="00C34128" w:rsidRDefault="007F2695">
            <w:pPr>
              <w:jc w:val="center"/>
              <w:rPr>
                <w:rFonts w:ascii="Arial" w:hAnsi="Arial" w:cs="Arial"/>
                <w:b/>
                <w:bCs/>
                <w:smallCaps/>
                <w:sz w:val="18"/>
              </w:rPr>
            </w:pPr>
          </w:p>
        </w:tc>
        <w:tc>
          <w:tcPr>
            <w:tcW w:w="2535" w:type="dxa"/>
            <w:vAlign w:val="center"/>
          </w:tcPr>
          <w:p w14:paraId="7AC5B8CC" w14:textId="77777777" w:rsidR="007F2695" w:rsidRPr="00C34128" w:rsidRDefault="007F2695">
            <w:pPr>
              <w:rPr>
                <w:rFonts w:ascii="Arial" w:hAnsi="Arial" w:cs="Arial"/>
                <w:sz w:val="18"/>
              </w:rPr>
            </w:pPr>
          </w:p>
        </w:tc>
        <w:tc>
          <w:tcPr>
            <w:tcW w:w="2894" w:type="dxa"/>
            <w:vAlign w:val="center"/>
          </w:tcPr>
          <w:p w14:paraId="0E4F5B41" w14:textId="77777777" w:rsidR="007F2695" w:rsidRPr="00C34128" w:rsidRDefault="007F2695">
            <w:pPr>
              <w:rPr>
                <w:rFonts w:ascii="Arial" w:hAnsi="Arial" w:cs="Arial"/>
                <w:sz w:val="18"/>
              </w:rPr>
            </w:pPr>
          </w:p>
        </w:tc>
      </w:tr>
      <w:tr w:rsidR="007F2695" w:rsidRPr="00C34128" w14:paraId="6D2C98D5" w14:textId="77777777" w:rsidTr="001801F0">
        <w:trPr>
          <w:cantSplit/>
        </w:trPr>
        <w:tc>
          <w:tcPr>
            <w:tcW w:w="4320" w:type="dxa"/>
          </w:tcPr>
          <w:p w14:paraId="0018B169" w14:textId="77777777" w:rsidR="007F2695" w:rsidRPr="00C34128" w:rsidRDefault="007F2695">
            <w:pPr>
              <w:pStyle w:val="Heading3"/>
              <w:keepNext w:val="0"/>
              <w:widowControl w:val="0"/>
              <w:rPr>
                <w:rFonts w:ascii="Arial" w:hAnsi="Arial" w:cs="Arial"/>
                <w:b w:val="0"/>
                <w:bCs w:val="0"/>
                <w:sz w:val="18"/>
              </w:rPr>
            </w:pPr>
            <w:r w:rsidRPr="00C34128">
              <w:rPr>
                <w:rFonts w:ascii="Arial" w:hAnsi="Arial" w:cs="Arial"/>
                <w:sz w:val="18"/>
              </w:rPr>
              <w:t>Collateral Policy</w:t>
            </w:r>
          </w:p>
          <w:p w14:paraId="4E5AAA30" w14:textId="77777777" w:rsidR="007F2695" w:rsidRPr="00C34128" w:rsidRDefault="007F2695">
            <w:pPr>
              <w:widowControl w:val="0"/>
              <w:rPr>
                <w:rFonts w:ascii="Arial" w:hAnsi="Arial" w:cs="Arial"/>
                <w:sz w:val="20"/>
              </w:rPr>
            </w:pPr>
            <w:r w:rsidRPr="00C34128">
              <w:rPr>
                <w:rFonts w:ascii="Arial" w:hAnsi="Arial" w:cs="Arial"/>
                <w:sz w:val="18"/>
              </w:rPr>
              <w:t xml:space="preserve">The governing body must approve a written policy relating to collateralization. It should be included in the Investment Policy and require collateralization for all uninsured collected balances, plus accrued interest, if any. In addition, the policy should address acceptance, substitution, release, and valuation of collateral. </w:t>
            </w:r>
            <w:r w:rsidRPr="00C34128">
              <w:rPr>
                <w:rFonts w:ascii="Arial" w:hAnsi="Arial" w:cs="Arial"/>
                <w:b/>
                <w:bCs/>
                <w:sz w:val="18"/>
              </w:rPr>
              <w:t xml:space="preserve">Collateral for Public Funds, Chapter 2257, </w:t>
            </w:r>
            <w:smartTag w:uri="urn:schemas-microsoft-com:office:smarttags" w:element="State">
              <w:smartTag w:uri="urn:schemas-microsoft-com:office:smarttags" w:element="place">
                <w:r w:rsidRPr="00C34128">
                  <w:rPr>
                    <w:rFonts w:ascii="Arial" w:hAnsi="Arial" w:cs="Arial"/>
                    <w:b/>
                    <w:bCs/>
                    <w:sz w:val="18"/>
                  </w:rPr>
                  <w:t>Texas</w:t>
                </w:r>
              </w:smartTag>
            </w:smartTag>
            <w:r w:rsidRPr="00C34128">
              <w:rPr>
                <w:rFonts w:ascii="Arial" w:hAnsi="Arial" w:cs="Arial"/>
                <w:b/>
                <w:bCs/>
                <w:sz w:val="18"/>
              </w:rPr>
              <w:t xml:space="preserve"> Government Code</w:t>
            </w:r>
          </w:p>
        </w:tc>
        <w:tc>
          <w:tcPr>
            <w:tcW w:w="1303" w:type="dxa"/>
            <w:vAlign w:val="center"/>
          </w:tcPr>
          <w:p w14:paraId="073FD141" w14:textId="77777777" w:rsidR="007F2695" w:rsidRPr="00C34128" w:rsidRDefault="007F2695">
            <w:pPr>
              <w:jc w:val="center"/>
              <w:rPr>
                <w:rFonts w:ascii="Arial" w:hAnsi="Arial" w:cs="Arial"/>
                <w:b/>
                <w:bCs/>
                <w:smallCaps/>
                <w:sz w:val="18"/>
              </w:rPr>
            </w:pPr>
          </w:p>
        </w:tc>
        <w:tc>
          <w:tcPr>
            <w:tcW w:w="2535" w:type="dxa"/>
            <w:vAlign w:val="center"/>
          </w:tcPr>
          <w:p w14:paraId="364B5540" w14:textId="77777777" w:rsidR="007F2695" w:rsidRPr="00C34128" w:rsidRDefault="007F2695">
            <w:pPr>
              <w:rPr>
                <w:rFonts w:ascii="Arial" w:hAnsi="Arial" w:cs="Arial"/>
                <w:sz w:val="18"/>
              </w:rPr>
            </w:pPr>
          </w:p>
        </w:tc>
        <w:tc>
          <w:tcPr>
            <w:tcW w:w="2894" w:type="dxa"/>
            <w:vAlign w:val="center"/>
          </w:tcPr>
          <w:p w14:paraId="0312394B" w14:textId="77777777" w:rsidR="007F2695" w:rsidRPr="00C34128" w:rsidRDefault="007F2695">
            <w:pPr>
              <w:rPr>
                <w:rFonts w:ascii="Arial" w:hAnsi="Arial" w:cs="Arial"/>
                <w:sz w:val="18"/>
              </w:rPr>
            </w:pPr>
          </w:p>
        </w:tc>
      </w:tr>
      <w:tr w:rsidR="007F2695" w:rsidRPr="00C34128" w14:paraId="68848A65" w14:textId="77777777" w:rsidTr="001801F0">
        <w:trPr>
          <w:cantSplit/>
        </w:trPr>
        <w:tc>
          <w:tcPr>
            <w:tcW w:w="4320" w:type="dxa"/>
          </w:tcPr>
          <w:p w14:paraId="62F01220" w14:textId="77777777" w:rsidR="007F2695" w:rsidRPr="00C34128" w:rsidRDefault="007F2695">
            <w:pPr>
              <w:pStyle w:val="Heading3"/>
              <w:keepNext w:val="0"/>
              <w:widowControl w:val="0"/>
              <w:rPr>
                <w:rFonts w:ascii="Arial" w:hAnsi="Arial" w:cs="Arial"/>
                <w:sz w:val="18"/>
              </w:rPr>
            </w:pPr>
            <w:r w:rsidRPr="00C34128">
              <w:rPr>
                <w:rFonts w:ascii="Arial" w:hAnsi="Arial" w:cs="Arial"/>
                <w:sz w:val="18"/>
              </w:rPr>
              <w:t>Diversification and Maximum Maturities</w:t>
            </w:r>
          </w:p>
          <w:p w14:paraId="2EF43203" w14:textId="77777777" w:rsidR="007F2695" w:rsidRPr="00C34128" w:rsidRDefault="007F2695">
            <w:pPr>
              <w:widowControl w:val="0"/>
              <w:rPr>
                <w:rFonts w:ascii="Arial" w:hAnsi="Arial" w:cs="Arial"/>
                <w:sz w:val="18"/>
              </w:rPr>
            </w:pPr>
            <w:r w:rsidRPr="00C34128">
              <w:rPr>
                <w:rFonts w:ascii="Arial" w:hAnsi="Arial" w:cs="Arial"/>
                <w:sz w:val="18"/>
              </w:rPr>
              <w:t xml:space="preserve">Investment policy must address investment diversification, yield, and maturity. (Yield is normally addressed under General Objectives following primary objectives of safety of principal and liquidity.) </w:t>
            </w:r>
            <w:r w:rsidRPr="00C34128">
              <w:rPr>
                <w:rFonts w:ascii="Arial" w:hAnsi="Arial" w:cs="Arial"/>
                <w:b/>
                <w:bCs/>
                <w:sz w:val="18"/>
              </w:rPr>
              <w:t>PFIA 2256.005 (b)(3)</w:t>
            </w:r>
          </w:p>
        </w:tc>
        <w:tc>
          <w:tcPr>
            <w:tcW w:w="1303" w:type="dxa"/>
            <w:vAlign w:val="center"/>
          </w:tcPr>
          <w:p w14:paraId="692F7581" w14:textId="77777777" w:rsidR="007F2695" w:rsidRPr="00C34128" w:rsidRDefault="007F2695">
            <w:pPr>
              <w:jc w:val="center"/>
              <w:rPr>
                <w:rFonts w:ascii="Arial" w:hAnsi="Arial" w:cs="Arial"/>
                <w:b/>
                <w:bCs/>
                <w:smallCaps/>
                <w:sz w:val="18"/>
              </w:rPr>
            </w:pPr>
          </w:p>
        </w:tc>
        <w:tc>
          <w:tcPr>
            <w:tcW w:w="2535" w:type="dxa"/>
            <w:vAlign w:val="center"/>
          </w:tcPr>
          <w:p w14:paraId="5CBBBC97" w14:textId="77777777" w:rsidR="007F2695" w:rsidRPr="00C34128" w:rsidRDefault="007F2695">
            <w:pPr>
              <w:rPr>
                <w:rFonts w:ascii="Arial" w:hAnsi="Arial" w:cs="Arial"/>
                <w:sz w:val="18"/>
              </w:rPr>
            </w:pPr>
          </w:p>
        </w:tc>
        <w:tc>
          <w:tcPr>
            <w:tcW w:w="2894" w:type="dxa"/>
            <w:vAlign w:val="center"/>
          </w:tcPr>
          <w:p w14:paraId="293EC7D2" w14:textId="77777777" w:rsidR="007F2695" w:rsidRPr="00C34128" w:rsidRDefault="007F2695">
            <w:pPr>
              <w:rPr>
                <w:rFonts w:ascii="Arial" w:hAnsi="Arial" w:cs="Arial"/>
                <w:sz w:val="18"/>
              </w:rPr>
            </w:pPr>
          </w:p>
        </w:tc>
      </w:tr>
      <w:tr w:rsidR="007F2695" w:rsidRPr="00C34128" w14:paraId="4551DBA2" w14:textId="77777777" w:rsidTr="001801F0">
        <w:trPr>
          <w:cantSplit/>
        </w:trPr>
        <w:tc>
          <w:tcPr>
            <w:tcW w:w="4320" w:type="dxa"/>
          </w:tcPr>
          <w:p w14:paraId="3FBE2CFE" w14:textId="77777777" w:rsidR="007F2695" w:rsidRPr="00C34128" w:rsidRDefault="007F2695">
            <w:pPr>
              <w:pStyle w:val="Heading3"/>
              <w:keepNext w:val="0"/>
              <w:widowControl w:val="0"/>
              <w:rPr>
                <w:rFonts w:ascii="Arial" w:hAnsi="Arial" w:cs="Arial"/>
                <w:sz w:val="18"/>
              </w:rPr>
            </w:pPr>
            <w:r w:rsidRPr="00C34128">
              <w:rPr>
                <w:rFonts w:ascii="Arial" w:hAnsi="Arial" w:cs="Arial"/>
                <w:sz w:val="18"/>
              </w:rPr>
              <w:lastRenderedPageBreak/>
              <w:t>Investment Strategies</w:t>
            </w:r>
          </w:p>
          <w:p w14:paraId="7DD0E01D" w14:textId="77777777" w:rsidR="007F2695" w:rsidRPr="00C34128" w:rsidRDefault="007F2695">
            <w:pPr>
              <w:widowControl w:val="0"/>
              <w:rPr>
                <w:rFonts w:ascii="Arial" w:hAnsi="Arial" w:cs="Arial"/>
                <w:sz w:val="18"/>
              </w:rPr>
            </w:pPr>
            <w:r w:rsidRPr="00C34128">
              <w:rPr>
                <w:rFonts w:ascii="Arial" w:hAnsi="Arial" w:cs="Arial"/>
                <w:sz w:val="18"/>
              </w:rPr>
              <w:t>The Investment Policy must require adoption by the governing body of a separate investment strategy for each of the funds, or group of funds, under its control. Each investment strategy must describe the investment objectives for the particular fund using the following priorities in order of importance:</w:t>
            </w:r>
          </w:p>
          <w:p w14:paraId="5132C28D" w14:textId="77777777" w:rsidR="007F2695" w:rsidRPr="00C34128" w:rsidRDefault="007F2695">
            <w:pPr>
              <w:pStyle w:val="BodyText"/>
              <w:widowControl w:val="0"/>
              <w:numPr>
                <w:ilvl w:val="0"/>
                <w:numId w:val="4"/>
              </w:numPr>
              <w:tabs>
                <w:tab w:val="clear" w:pos="720"/>
                <w:tab w:val="num" w:pos="360"/>
              </w:tabs>
              <w:ind w:left="360"/>
              <w:rPr>
                <w:rFonts w:ascii="Arial" w:hAnsi="Arial" w:cs="Arial"/>
                <w:sz w:val="18"/>
              </w:rPr>
            </w:pPr>
            <w:r w:rsidRPr="00C34128">
              <w:rPr>
                <w:rFonts w:ascii="Arial" w:hAnsi="Arial" w:cs="Arial"/>
                <w:sz w:val="18"/>
              </w:rPr>
              <w:t>understanding of the suitability of the investment to the financial requirements of the entity;</w:t>
            </w:r>
          </w:p>
          <w:p w14:paraId="235E8B8B" w14:textId="77777777" w:rsidR="007F2695" w:rsidRPr="00C34128" w:rsidRDefault="007F2695">
            <w:pPr>
              <w:pStyle w:val="BodyText"/>
              <w:widowControl w:val="0"/>
              <w:numPr>
                <w:ilvl w:val="0"/>
                <w:numId w:val="4"/>
              </w:numPr>
              <w:tabs>
                <w:tab w:val="clear" w:pos="720"/>
                <w:tab w:val="num" w:pos="360"/>
              </w:tabs>
              <w:ind w:left="360"/>
              <w:rPr>
                <w:rFonts w:ascii="Arial" w:hAnsi="Arial" w:cs="Arial"/>
                <w:sz w:val="18"/>
              </w:rPr>
            </w:pPr>
            <w:r w:rsidRPr="00C34128">
              <w:rPr>
                <w:rFonts w:ascii="Arial" w:hAnsi="Arial" w:cs="Arial"/>
                <w:sz w:val="18"/>
              </w:rPr>
              <w:t>preservation and safety of principal;</w:t>
            </w:r>
          </w:p>
          <w:p w14:paraId="7D1C11AF" w14:textId="77777777" w:rsidR="007F2695" w:rsidRPr="00C34128" w:rsidRDefault="007F2695">
            <w:pPr>
              <w:pStyle w:val="BodyText"/>
              <w:widowControl w:val="0"/>
              <w:numPr>
                <w:ilvl w:val="0"/>
                <w:numId w:val="4"/>
              </w:numPr>
              <w:tabs>
                <w:tab w:val="clear" w:pos="720"/>
                <w:tab w:val="num" w:pos="360"/>
              </w:tabs>
              <w:ind w:left="360"/>
              <w:rPr>
                <w:rFonts w:ascii="Arial" w:hAnsi="Arial" w:cs="Arial"/>
                <w:sz w:val="18"/>
              </w:rPr>
            </w:pPr>
            <w:r w:rsidRPr="00C34128">
              <w:rPr>
                <w:rFonts w:ascii="Arial" w:hAnsi="Arial" w:cs="Arial"/>
                <w:sz w:val="18"/>
              </w:rPr>
              <w:t>liquidity;</w:t>
            </w:r>
          </w:p>
          <w:p w14:paraId="38DF5DA3" w14:textId="77777777" w:rsidR="007F2695" w:rsidRPr="00C34128" w:rsidRDefault="007F2695">
            <w:pPr>
              <w:pStyle w:val="BodyText"/>
              <w:widowControl w:val="0"/>
              <w:numPr>
                <w:ilvl w:val="0"/>
                <w:numId w:val="4"/>
              </w:numPr>
              <w:tabs>
                <w:tab w:val="clear" w:pos="720"/>
                <w:tab w:val="num" w:pos="360"/>
              </w:tabs>
              <w:ind w:left="360"/>
              <w:rPr>
                <w:rFonts w:ascii="Arial" w:hAnsi="Arial" w:cs="Arial"/>
                <w:sz w:val="18"/>
              </w:rPr>
            </w:pPr>
            <w:r w:rsidRPr="00C34128">
              <w:rPr>
                <w:rFonts w:ascii="Arial" w:hAnsi="Arial" w:cs="Arial"/>
                <w:sz w:val="18"/>
              </w:rPr>
              <w:t>marketability of the investment if the need arises to liquidate the investment before maturity;</w:t>
            </w:r>
          </w:p>
          <w:p w14:paraId="6C1801D1" w14:textId="77777777" w:rsidR="007F2695" w:rsidRPr="00C34128" w:rsidRDefault="007F2695">
            <w:pPr>
              <w:pStyle w:val="BodyText"/>
              <w:widowControl w:val="0"/>
              <w:numPr>
                <w:ilvl w:val="0"/>
                <w:numId w:val="4"/>
              </w:numPr>
              <w:tabs>
                <w:tab w:val="clear" w:pos="720"/>
                <w:tab w:val="num" w:pos="360"/>
              </w:tabs>
              <w:ind w:left="360"/>
              <w:rPr>
                <w:rFonts w:ascii="Arial" w:hAnsi="Arial" w:cs="Arial"/>
                <w:sz w:val="18"/>
              </w:rPr>
            </w:pPr>
            <w:r w:rsidRPr="00C34128">
              <w:rPr>
                <w:rFonts w:ascii="Arial" w:hAnsi="Arial" w:cs="Arial"/>
                <w:sz w:val="18"/>
              </w:rPr>
              <w:t>diversification of the investment portfolio; and</w:t>
            </w:r>
          </w:p>
          <w:p w14:paraId="700A9354" w14:textId="77777777" w:rsidR="007F2695" w:rsidRPr="00C34128" w:rsidRDefault="007F2695">
            <w:pPr>
              <w:widowControl w:val="0"/>
              <w:tabs>
                <w:tab w:val="left" w:pos="360"/>
              </w:tabs>
              <w:ind w:left="360" w:hanging="360"/>
              <w:rPr>
                <w:rFonts w:ascii="Arial" w:hAnsi="Arial" w:cs="Arial"/>
                <w:sz w:val="18"/>
              </w:rPr>
            </w:pPr>
            <w:r w:rsidRPr="00C34128">
              <w:rPr>
                <w:rFonts w:ascii="Arial" w:hAnsi="Arial" w:cs="Arial"/>
                <w:sz w:val="18"/>
              </w:rPr>
              <w:t>(6)</w:t>
            </w:r>
            <w:r w:rsidRPr="00C34128">
              <w:rPr>
                <w:rFonts w:ascii="Arial" w:hAnsi="Arial" w:cs="Arial"/>
                <w:sz w:val="18"/>
              </w:rPr>
              <w:tab/>
              <w:t>yield (assign performance benchmarks as appropriate)</w:t>
            </w:r>
            <w:r w:rsidRPr="00C34128">
              <w:rPr>
                <w:rFonts w:ascii="Arial" w:hAnsi="Arial" w:cs="Arial"/>
                <w:b/>
                <w:bCs/>
                <w:sz w:val="18"/>
              </w:rPr>
              <w:t xml:space="preserve"> PFIA 2256.005 (d) </w:t>
            </w:r>
          </w:p>
        </w:tc>
        <w:tc>
          <w:tcPr>
            <w:tcW w:w="1303" w:type="dxa"/>
            <w:vAlign w:val="center"/>
          </w:tcPr>
          <w:p w14:paraId="60C2E6A3" w14:textId="77777777" w:rsidR="007F2695" w:rsidRPr="00C34128" w:rsidRDefault="007F2695">
            <w:pPr>
              <w:jc w:val="center"/>
              <w:rPr>
                <w:rFonts w:ascii="Arial" w:hAnsi="Arial" w:cs="Arial"/>
                <w:smallCaps/>
                <w:sz w:val="18"/>
              </w:rPr>
            </w:pPr>
          </w:p>
        </w:tc>
        <w:tc>
          <w:tcPr>
            <w:tcW w:w="2535" w:type="dxa"/>
            <w:vAlign w:val="center"/>
          </w:tcPr>
          <w:p w14:paraId="3016F56D" w14:textId="77777777" w:rsidR="007F2695" w:rsidRPr="00C34128" w:rsidRDefault="007F2695">
            <w:pPr>
              <w:rPr>
                <w:rFonts w:ascii="Arial" w:hAnsi="Arial" w:cs="Arial"/>
                <w:sz w:val="18"/>
              </w:rPr>
            </w:pPr>
          </w:p>
        </w:tc>
        <w:tc>
          <w:tcPr>
            <w:tcW w:w="2894" w:type="dxa"/>
            <w:vAlign w:val="center"/>
          </w:tcPr>
          <w:p w14:paraId="7BD213E3" w14:textId="77777777" w:rsidR="007F2695" w:rsidRPr="00C34128" w:rsidRDefault="007F2695">
            <w:pPr>
              <w:rPr>
                <w:rFonts w:ascii="Arial" w:hAnsi="Arial" w:cs="Arial"/>
                <w:sz w:val="18"/>
              </w:rPr>
            </w:pPr>
          </w:p>
        </w:tc>
      </w:tr>
      <w:tr w:rsidR="007F2695" w:rsidRPr="00C34128" w14:paraId="19329DE0" w14:textId="77777777" w:rsidTr="001801F0">
        <w:trPr>
          <w:cantSplit/>
        </w:trPr>
        <w:tc>
          <w:tcPr>
            <w:tcW w:w="4320" w:type="dxa"/>
          </w:tcPr>
          <w:p w14:paraId="7063AC8A" w14:textId="77777777" w:rsidR="007F2695" w:rsidRPr="00C34128" w:rsidRDefault="007F2695">
            <w:pPr>
              <w:pStyle w:val="Heading3"/>
              <w:keepNext w:val="0"/>
              <w:widowControl w:val="0"/>
              <w:rPr>
                <w:rFonts w:ascii="Arial" w:hAnsi="Arial" w:cs="Arial"/>
                <w:sz w:val="18"/>
              </w:rPr>
            </w:pPr>
            <w:r w:rsidRPr="00C34128">
              <w:rPr>
                <w:rFonts w:ascii="Arial" w:hAnsi="Arial" w:cs="Arial"/>
                <w:sz w:val="18"/>
              </w:rPr>
              <w:t>Weighted Average Maturity for Pooled Fund Groups</w:t>
            </w:r>
          </w:p>
          <w:p w14:paraId="3ADF3068" w14:textId="77777777" w:rsidR="007F2695" w:rsidRPr="00C34128" w:rsidRDefault="007F2695">
            <w:pPr>
              <w:widowControl w:val="0"/>
              <w:rPr>
                <w:rFonts w:ascii="Arial" w:hAnsi="Arial" w:cs="Arial"/>
                <w:sz w:val="18"/>
              </w:rPr>
            </w:pPr>
            <w:r w:rsidRPr="00C34128">
              <w:rPr>
                <w:rFonts w:ascii="Arial" w:hAnsi="Arial" w:cs="Arial"/>
                <w:sz w:val="18"/>
              </w:rPr>
              <w:t xml:space="preserve">If your entity combines funds as a “pooled fund group” for investing purposes, then the maximum dollar-weighted average maturity of the portfolio, based on the stated maturity date, must be included in your Investment Policy. </w:t>
            </w:r>
            <w:r w:rsidRPr="00C34128">
              <w:rPr>
                <w:rFonts w:ascii="Arial" w:hAnsi="Arial" w:cs="Arial"/>
                <w:b/>
                <w:bCs/>
                <w:sz w:val="18"/>
              </w:rPr>
              <w:t xml:space="preserve">PFIA 2256.005 (b)(4)(C) </w:t>
            </w:r>
          </w:p>
        </w:tc>
        <w:tc>
          <w:tcPr>
            <w:tcW w:w="1303" w:type="dxa"/>
            <w:vAlign w:val="center"/>
          </w:tcPr>
          <w:p w14:paraId="1F50CC71" w14:textId="77777777" w:rsidR="007F2695" w:rsidRPr="00C34128" w:rsidRDefault="007F2695">
            <w:pPr>
              <w:jc w:val="center"/>
              <w:rPr>
                <w:rFonts w:ascii="Arial" w:hAnsi="Arial" w:cs="Arial"/>
                <w:smallCaps/>
                <w:sz w:val="18"/>
              </w:rPr>
            </w:pPr>
          </w:p>
        </w:tc>
        <w:tc>
          <w:tcPr>
            <w:tcW w:w="2535" w:type="dxa"/>
            <w:vAlign w:val="center"/>
          </w:tcPr>
          <w:p w14:paraId="79BFC98A" w14:textId="77777777" w:rsidR="007F2695" w:rsidRPr="00C34128" w:rsidRDefault="007F2695">
            <w:pPr>
              <w:rPr>
                <w:rFonts w:ascii="Arial" w:hAnsi="Arial" w:cs="Arial"/>
                <w:sz w:val="18"/>
              </w:rPr>
            </w:pPr>
          </w:p>
        </w:tc>
        <w:tc>
          <w:tcPr>
            <w:tcW w:w="2894" w:type="dxa"/>
            <w:vAlign w:val="center"/>
          </w:tcPr>
          <w:p w14:paraId="4DA39FB4" w14:textId="77777777" w:rsidR="007F2695" w:rsidRPr="00C34128" w:rsidRDefault="007F2695">
            <w:pPr>
              <w:rPr>
                <w:rFonts w:ascii="Arial" w:hAnsi="Arial" w:cs="Arial"/>
                <w:sz w:val="18"/>
              </w:rPr>
            </w:pPr>
          </w:p>
        </w:tc>
      </w:tr>
      <w:tr w:rsidR="007F2695" w:rsidRPr="00C34128" w14:paraId="56BF33C3" w14:textId="77777777" w:rsidTr="001801F0">
        <w:trPr>
          <w:cantSplit/>
        </w:trPr>
        <w:tc>
          <w:tcPr>
            <w:tcW w:w="4320" w:type="dxa"/>
          </w:tcPr>
          <w:p w14:paraId="45DF59EA" w14:textId="77777777" w:rsidR="007F2695" w:rsidRPr="00C34128" w:rsidRDefault="007F2695">
            <w:pPr>
              <w:pStyle w:val="Heading3"/>
              <w:keepNext w:val="0"/>
              <w:widowControl w:val="0"/>
              <w:rPr>
                <w:rFonts w:ascii="Arial" w:hAnsi="Arial" w:cs="Arial"/>
                <w:sz w:val="18"/>
              </w:rPr>
            </w:pPr>
            <w:r w:rsidRPr="00C34128">
              <w:rPr>
                <w:rFonts w:ascii="Arial" w:hAnsi="Arial" w:cs="Arial"/>
                <w:sz w:val="18"/>
              </w:rPr>
              <w:t>Quarterly Reporting</w:t>
            </w:r>
          </w:p>
          <w:p w14:paraId="2489410C" w14:textId="77777777" w:rsidR="007F2695" w:rsidRPr="00C34128" w:rsidRDefault="007F2695">
            <w:pPr>
              <w:widowControl w:val="0"/>
              <w:rPr>
                <w:rFonts w:ascii="Arial" w:hAnsi="Arial" w:cs="Arial"/>
                <w:b/>
                <w:bCs/>
                <w:sz w:val="18"/>
              </w:rPr>
            </w:pPr>
            <w:r w:rsidRPr="00C34128">
              <w:rPr>
                <w:rFonts w:ascii="Arial" w:hAnsi="Arial" w:cs="Arial"/>
                <w:sz w:val="18"/>
              </w:rPr>
              <w:t xml:space="preserve">Investment Policy must require quarterly investment reports, prepared by the investment officer(s) and submitted to the governing body. Specific PFIA reporting requirements should be either be included in your policy or referenced to PFIA. </w:t>
            </w:r>
            <w:r w:rsidRPr="00C34128">
              <w:rPr>
                <w:rFonts w:ascii="Arial" w:hAnsi="Arial" w:cs="Arial"/>
                <w:b/>
                <w:bCs/>
                <w:sz w:val="18"/>
              </w:rPr>
              <w:t>PFIA 2256.023</w:t>
            </w:r>
          </w:p>
        </w:tc>
        <w:tc>
          <w:tcPr>
            <w:tcW w:w="1303" w:type="dxa"/>
            <w:vAlign w:val="center"/>
          </w:tcPr>
          <w:p w14:paraId="4091376F" w14:textId="77777777" w:rsidR="007F2695" w:rsidRPr="00C34128" w:rsidRDefault="007F2695">
            <w:pPr>
              <w:pStyle w:val="Heading4"/>
              <w:rPr>
                <w:rFonts w:ascii="Arial" w:hAnsi="Arial" w:cs="Arial"/>
                <w:smallCaps/>
                <w:sz w:val="18"/>
              </w:rPr>
            </w:pPr>
          </w:p>
        </w:tc>
        <w:tc>
          <w:tcPr>
            <w:tcW w:w="2535" w:type="dxa"/>
            <w:vAlign w:val="center"/>
          </w:tcPr>
          <w:p w14:paraId="1E088181" w14:textId="77777777" w:rsidR="007F2695" w:rsidRPr="00C34128" w:rsidRDefault="007F2695">
            <w:pPr>
              <w:rPr>
                <w:rFonts w:ascii="Arial" w:hAnsi="Arial" w:cs="Arial"/>
                <w:sz w:val="18"/>
              </w:rPr>
            </w:pPr>
          </w:p>
        </w:tc>
        <w:tc>
          <w:tcPr>
            <w:tcW w:w="2894" w:type="dxa"/>
            <w:vAlign w:val="center"/>
          </w:tcPr>
          <w:p w14:paraId="475D0615" w14:textId="77777777" w:rsidR="007F2695" w:rsidRPr="00C34128" w:rsidRDefault="007F2695">
            <w:pPr>
              <w:rPr>
                <w:rFonts w:ascii="Arial" w:hAnsi="Arial" w:cs="Arial"/>
                <w:sz w:val="18"/>
              </w:rPr>
            </w:pPr>
          </w:p>
        </w:tc>
      </w:tr>
      <w:tr w:rsidR="007F2695" w:rsidRPr="00C34128" w14:paraId="429DFFBB" w14:textId="77777777" w:rsidTr="001801F0">
        <w:trPr>
          <w:cantSplit/>
        </w:trPr>
        <w:tc>
          <w:tcPr>
            <w:tcW w:w="4320" w:type="dxa"/>
          </w:tcPr>
          <w:p w14:paraId="00319B68" w14:textId="77777777" w:rsidR="007F2695" w:rsidRPr="00C34128" w:rsidRDefault="007F2695">
            <w:pPr>
              <w:pStyle w:val="Heading3"/>
              <w:keepNext w:val="0"/>
              <w:widowControl w:val="0"/>
              <w:rPr>
                <w:rFonts w:ascii="Arial" w:hAnsi="Arial" w:cs="Arial"/>
                <w:b w:val="0"/>
                <w:bCs w:val="0"/>
                <w:sz w:val="18"/>
              </w:rPr>
            </w:pPr>
            <w:r w:rsidRPr="00C34128">
              <w:rPr>
                <w:rFonts w:ascii="Arial" w:hAnsi="Arial" w:cs="Arial"/>
                <w:sz w:val="18"/>
              </w:rPr>
              <w:t>Review by Independent Auditor</w:t>
            </w:r>
          </w:p>
          <w:p w14:paraId="0A2396E9" w14:textId="77777777" w:rsidR="007F2695" w:rsidRPr="00C34128" w:rsidRDefault="007F2695">
            <w:pPr>
              <w:widowControl w:val="0"/>
              <w:rPr>
                <w:rFonts w:ascii="Arial" w:hAnsi="Arial" w:cs="Arial"/>
                <w:sz w:val="18"/>
              </w:rPr>
            </w:pPr>
            <w:r w:rsidRPr="00C34128">
              <w:rPr>
                <w:rFonts w:ascii="Arial" w:hAnsi="Arial" w:cs="Arial"/>
                <w:sz w:val="18"/>
              </w:rPr>
              <w:t xml:space="preserve">Quarterly reports must be formally reviewed at least annually by an independent auditor and reported to the governing body. (An entity is exempt from this review if it </w:t>
            </w:r>
            <w:r w:rsidRPr="00C34128">
              <w:rPr>
                <w:rFonts w:ascii="Arial" w:hAnsi="Arial" w:cs="Arial"/>
                <w:i/>
                <w:iCs/>
                <w:sz w:val="18"/>
              </w:rPr>
              <w:t>only</w:t>
            </w:r>
            <w:r w:rsidRPr="00C34128">
              <w:rPr>
                <w:rFonts w:ascii="Arial" w:hAnsi="Arial" w:cs="Arial"/>
                <w:sz w:val="18"/>
              </w:rPr>
              <w:t xml:space="preserve"> invests in money market mutual funds, investment pools or accounts offered by its depository bank in the form of CDs or money market accounts.) </w:t>
            </w:r>
            <w:r w:rsidRPr="00C34128">
              <w:rPr>
                <w:rFonts w:ascii="Arial" w:hAnsi="Arial" w:cs="Arial"/>
                <w:b/>
                <w:bCs/>
                <w:sz w:val="18"/>
              </w:rPr>
              <w:t>PFIA 2256.023</w:t>
            </w:r>
            <w:r w:rsidRPr="00C34128">
              <w:rPr>
                <w:rFonts w:ascii="Arial" w:hAnsi="Arial" w:cs="Arial"/>
                <w:sz w:val="20"/>
              </w:rPr>
              <w:t> </w:t>
            </w:r>
            <w:r w:rsidRPr="00C34128">
              <w:rPr>
                <w:rFonts w:ascii="Arial" w:hAnsi="Arial" w:cs="Arial"/>
                <w:b/>
                <w:bCs/>
                <w:sz w:val="18"/>
              </w:rPr>
              <w:t>(d)</w:t>
            </w:r>
          </w:p>
        </w:tc>
        <w:tc>
          <w:tcPr>
            <w:tcW w:w="1303" w:type="dxa"/>
            <w:vAlign w:val="center"/>
          </w:tcPr>
          <w:p w14:paraId="12612FFB" w14:textId="77777777" w:rsidR="007F2695" w:rsidRPr="00C34128" w:rsidRDefault="007F2695">
            <w:pPr>
              <w:jc w:val="center"/>
              <w:rPr>
                <w:rFonts w:ascii="Arial" w:hAnsi="Arial" w:cs="Arial"/>
                <w:b/>
                <w:bCs/>
                <w:smallCaps/>
                <w:sz w:val="18"/>
              </w:rPr>
            </w:pPr>
          </w:p>
        </w:tc>
        <w:tc>
          <w:tcPr>
            <w:tcW w:w="2535" w:type="dxa"/>
            <w:vAlign w:val="center"/>
          </w:tcPr>
          <w:p w14:paraId="357A6F0A" w14:textId="77777777" w:rsidR="007F2695" w:rsidRPr="00C34128" w:rsidRDefault="007F2695">
            <w:pPr>
              <w:rPr>
                <w:rFonts w:ascii="Arial" w:hAnsi="Arial" w:cs="Arial"/>
                <w:sz w:val="18"/>
              </w:rPr>
            </w:pPr>
          </w:p>
        </w:tc>
        <w:tc>
          <w:tcPr>
            <w:tcW w:w="2894" w:type="dxa"/>
            <w:vAlign w:val="center"/>
          </w:tcPr>
          <w:p w14:paraId="3502AC6F" w14:textId="77777777" w:rsidR="007F2695" w:rsidRPr="00C34128" w:rsidRDefault="007F2695">
            <w:pPr>
              <w:rPr>
                <w:rFonts w:ascii="Arial" w:hAnsi="Arial" w:cs="Arial"/>
                <w:sz w:val="18"/>
              </w:rPr>
            </w:pPr>
          </w:p>
        </w:tc>
      </w:tr>
      <w:tr w:rsidR="007F2695" w:rsidRPr="00C34128" w14:paraId="7BE433F2" w14:textId="77777777" w:rsidTr="001801F0">
        <w:trPr>
          <w:cantSplit/>
        </w:trPr>
        <w:tc>
          <w:tcPr>
            <w:tcW w:w="4320" w:type="dxa"/>
          </w:tcPr>
          <w:p w14:paraId="426887DE" w14:textId="77777777" w:rsidR="007F2695" w:rsidRPr="00C34128" w:rsidRDefault="007F2695">
            <w:pPr>
              <w:widowControl w:val="0"/>
              <w:rPr>
                <w:rFonts w:ascii="Arial" w:hAnsi="Arial" w:cs="Arial"/>
                <w:b/>
                <w:bCs/>
                <w:sz w:val="18"/>
              </w:rPr>
            </w:pPr>
            <w:r w:rsidRPr="00C34128">
              <w:rPr>
                <w:rFonts w:ascii="Arial" w:hAnsi="Arial" w:cs="Arial"/>
                <w:b/>
                <w:bCs/>
                <w:sz w:val="18"/>
              </w:rPr>
              <w:t>Marking to Market</w:t>
            </w:r>
          </w:p>
          <w:p w14:paraId="3F312ECF" w14:textId="77777777" w:rsidR="007F2695" w:rsidRPr="00C34128" w:rsidRDefault="007F2695">
            <w:pPr>
              <w:widowControl w:val="0"/>
              <w:rPr>
                <w:rFonts w:ascii="Arial" w:hAnsi="Arial" w:cs="Arial"/>
                <w:sz w:val="18"/>
              </w:rPr>
            </w:pPr>
            <w:r w:rsidRPr="00C34128">
              <w:rPr>
                <w:rFonts w:ascii="Arial" w:hAnsi="Arial" w:cs="Arial"/>
                <w:sz w:val="18"/>
              </w:rPr>
              <w:t xml:space="preserve">The market value of the portfolio must be determined at least quarterly and included in the quarterly investment reports. The Investment Policy must include methods to monitor the market price of investments acquired with public funds (e.g. IDC, Bloomberg, etc.) </w:t>
            </w:r>
            <w:r w:rsidRPr="00C34128">
              <w:rPr>
                <w:rFonts w:ascii="Arial" w:hAnsi="Arial" w:cs="Arial"/>
                <w:b/>
                <w:bCs/>
                <w:sz w:val="18"/>
              </w:rPr>
              <w:t>PFIA 2256.005 </w:t>
            </w:r>
            <w:r w:rsidR="000F7187" w:rsidRPr="00C34128">
              <w:rPr>
                <w:rFonts w:ascii="Arial" w:hAnsi="Arial" w:cs="Arial"/>
                <w:b/>
                <w:bCs/>
                <w:sz w:val="18"/>
              </w:rPr>
              <w:t>b)(</w:t>
            </w:r>
            <w:r w:rsidRPr="00C34128">
              <w:rPr>
                <w:rFonts w:ascii="Arial" w:hAnsi="Arial" w:cs="Arial"/>
                <w:b/>
                <w:bCs/>
                <w:sz w:val="18"/>
              </w:rPr>
              <w:t>4)(D)</w:t>
            </w:r>
          </w:p>
        </w:tc>
        <w:tc>
          <w:tcPr>
            <w:tcW w:w="1303" w:type="dxa"/>
            <w:vAlign w:val="center"/>
          </w:tcPr>
          <w:p w14:paraId="5CDD88E6" w14:textId="77777777" w:rsidR="007F2695" w:rsidRPr="00C34128" w:rsidRDefault="007F2695">
            <w:pPr>
              <w:pStyle w:val="Heading4"/>
              <w:rPr>
                <w:rFonts w:ascii="Arial" w:hAnsi="Arial" w:cs="Arial"/>
                <w:smallCaps/>
                <w:sz w:val="18"/>
              </w:rPr>
            </w:pPr>
          </w:p>
        </w:tc>
        <w:tc>
          <w:tcPr>
            <w:tcW w:w="2535" w:type="dxa"/>
            <w:vAlign w:val="center"/>
          </w:tcPr>
          <w:p w14:paraId="39D9C742" w14:textId="77777777" w:rsidR="007F2695" w:rsidRPr="00C34128" w:rsidRDefault="007F2695">
            <w:pPr>
              <w:rPr>
                <w:rFonts w:ascii="Arial" w:hAnsi="Arial" w:cs="Arial"/>
                <w:sz w:val="18"/>
              </w:rPr>
            </w:pPr>
          </w:p>
        </w:tc>
        <w:tc>
          <w:tcPr>
            <w:tcW w:w="2894" w:type="dxa"/>
            <w:vAlign w:val="center"/>
          </w:tcPr>
          <w:p w14:paraId="72BDF16F" w14:textId="77777777" w:rsidR="007F2695" w:rsidRPr="00C34128" w:rsidRDefault="007F2695">
            <w:pPr>
              <w:rPr>
                <w:rFonts w:ascii="Arial" w:hAnsi="Arial" w:cs="Arial"/>
                <w:sz w:val="18"/>
              </w:rPr>
            </w:pPr>
          </w:p>
        </w:tc>
      </w:tr>
      <w:tr w:rsidR="007F2695" w:rsidRPr="00C34128" w14:paraId="695E5300" w14:textId="77777777" w:rsidTr="001801F0">
        <w:trPr>
          <w:cantSplit/>
        </w:trPr>
        <w:tc>
          <w:tcPr>
            <w:tcW w:w="4320" w:type="dxa"/>
          </w:tcPr>
          <w:p w14:paraId="7CA9B83B" w14:textId="77777777" w:rsidR="007F2695" w:rsidRPr="00C34128" w:rsidRDefault="007F2695">
            <w:pPr>
              <w:pStyle w:val="Heading3"/>
              <w:keepNext w:val="0"/>
              <w:widowControl w:val="0"/>
              <w:rPr>
                <w:rFonts w:ascii="Arial" w:hAnsi="Arial" w:cs="Arial"/>
                <w:sz w:val="18"/>
              </w:rPr>
            </w:pPr>
            <w:r w:rsidRPr="00C34128">
              <w:rPr>
                <w:rFonts w:ascii="Arial" w:hAnsi="Arial" w:cs="Arial"/>
                <w:sz w:val="18"/>
              </w:rPr>
              <w:t>Internal Controls</w:t>
            </w:r>
          </w:p>
          <w:p w14:paraId="160DB03D" w14:textId="77777777" w:rsidR="007F2695" w:rsidRPr="00C34128" w:rsidRDefault="007F2695">
            <w:pPr>
              <w:widowControl w:val="0"/>
              <w:rPr>
                <w:rFonts w:ascii="Arial" w:hAnsi="Arial" w:cs="Arial"/>
                <w:b/>
                <w:bCs/>
                <w:sz w:val="18"/>
              </w:rPr>
            </w:pPr>
            <w:r w:rsidRPr="00C34128">
              <w:rPr>
                <w:rFonts w:ascii="Arial" w:hAnsi="Arial" w:cs="Arial"/>
                <w:sz w:val="18"/>
              </w:rPr>
              <w:t>Investment Policy must require, in conjunction with its annual financial audit, a compliance audit of management controls on investments and adherence to the entity’s established investment policies (see 2256.005(n) for the requirement for state agencies).</w:t>
            </w:r>
            <w:r w:rsidRPr="00C34128">
              <w:rPr>
                <w:rFonts w:ascii="Arial" w:hAnsi="Arial" w:cs="Arial"/>
                <w:b/>
                <w:bCs/>
                <w:sz w:val="18"/>
              </w:rPr>
              <w:t xml:space="preserve"> PFIA 2256.005 (m)</w:t>
            </w:r>
          </w:p>
        </w:tc>
        <w:tc>
          <w:tcPr>
            <w:tcW w:w="1303" w:type="dxa"/>
            <w:vAlign w:val="center"/>
          </w:tcPr>
          <w:p w14:paraId="262ED0EE" w14:textId="77777777" w:rsidR="007F2695" w:rsidRPr="00C34128" w:rsidRDefault="007F2695">
            <w:pPr>
              <w:jc w:val="center"/>
              <w:rPr>
                <w:rFonts w:ascii="Arial" w:hAnsi="Arial" w:cs="Arial"/>
                <w:smallCaps/>
                <w:sz w:val="18"/>
              </w:rPr>
            </w:pPr>
          </w:p>
        </w:tc>
        <w:tc>
          <w:tcPr>
            <w:tcW w:w="2535" w:type="dxa"/>
            <w:vAlign w:val="center"/>
          </w:tcPr>
          <w:p w14:paraId="6D11F9D9" w14:textId="77777777" w:rsidR="007F2695" w:rsidRPr="00C34128" w:rsidRDefault="007F2695">
            <w:pPr>
              <w:rPr>
                <w:rFonts w:ascii="Arial" w:hAnsi="Arial" w:cs="Arial"/>
                <w:sz w:val="18"/>
              </w:rPr>
            </w:pPr>
          </w:p>
        </w:tc>
        <w:tc>
          <w:tcPr>
            <w:tcW w:w="2894" w:type="dxa"/>
            <w:vAlign w:val="center"/>
          </w:tcPr>
          <w:p w14:paraId="65AAED4B" w14:textId="77777777" w:rsidR="007F2695" w:rsidRPr="00C34128" w:rsidRDefault="007F2695">
            <w:pPr>
              <w:rPr>
                <w:rFonts w:ascii="Arial" w:hAnsi="Arial" w:cs="Arial"/>
                <w:sz w:val="18"/>
              </w:rPr>
            </w:pPr>
          </w:p>
        </w:tc>
      </w:tr>
      <w:tr w:rsidR="007F2695" w:rsidRPr="00C34128" w14:paraId="0C4B6260" w14:textId="77777777" w:rsidTr="001801F0">
        <w:trPr>
          <w:cantSplit/>
        </w:trPr>
        <w:tc>
          <w:tcPr>
            <w:tcW w:w="4320" w:type="dxa"/>
          </w:tcPr>
          <w:p w14:paraId="62A31165" w14:textId="77777777" w:rsidR="007F2695" w:rsidRPr="00C34128" w:rsidRDefault="007F2695">
            <w:pPr>
              <w:pStyle w:val="Heading3"/>
              <w:keepNext w:val="0"/>
              <w:widowControl w:val="0"/>
              <w:rPr>
                <w:rFonts w:ascii="Arial" w:hAnsi="Arial" w:cs="Arial"/>
                <w:sz w:val="18"/>
              </w:rPr>
            </w:pPr>
            <w:r w:rsidRPr="00C34128">
              <w:rPr>
                <w:rFonts w:ascii="Arial" w:hAnsi="Arial" w:cs="Arial"/>
                <w:sz w:val="18"/>
              </w:rPr>
              <w:t>Exemption for Existing Investments</w:t>
            </w:r>
          </w:p>
          <w:p w14:paraId="24DF4D33" w14:textId="77777777" w:rsidR="007F2695" w:rsidRPr="00C34128" w:rsidRDefault="007F2695">
            <w:pPr>
              <w:widowControl w:val="0"/>
              <w:rPr>
                <w:rFonts w:ascii="Arial" w:hAnsi="Arial" w:cs="Arial"/>
                <w:sz w:val="18"/>
              </w:rPr>
            </w:pPr>
            <w:r w:rsidRPr="00C34128">
              <w:rPr>
                <w:rFonts w:ascii="Arial" w:hAnsi="Arial" w:cs="Arial"/>
                <w:sz w:val="18"/>
              </w:rPr>
              <w:t xml:space="preserve">An entity is not required to liquidate investments that were authorized investments at the time of purchase. </w:t>
            </w:r>
            <w:r w:rsidRPr="00C34128">
              <w:rPr>
                <w:rFonts w:ascii="Arial" w:hAnsi="Arial" w:cs="Arial"/>
                <w:b/>
                <w:bCs/>
                <w:sz w:val="18"/>
              </w:rPr>
              <w:t>PFIA 2256.017</w:t>
            </w:r>
          </w:p>
        </w:tc>
        <w:tc>
          <w:tcPr>
            <w:tcW w:w="1303" w:type="dxa"/>
            <w:vAlign w:val="center"/>
          </w:tcPr>
          <w:p w14:paraId="25A15A85" w14:textId="77777777" w:rsidR="007F2695" w:rsidRPr="00C34128" w:rsidRDefault="007F2695">
            <w:pPr>
              <w:jc w:val="center"/>
              <w:rPr>
                <w:rFonts w:ascii="Arial" w:hAnsi="Arial" w:cs="Arial"/>
                <w:b/>
                <w:bCs/>
                <w:smallCaps/>
                <w:sz w:val="18"/>
              </w:rPr>
            </w:pPr>
          </w:p>
        </w:tc>
        <w:tc>
          <w:tcPr>
            <w:tcW w:w="2535" w:type="dxa"/>
            <w:vAlign w:val="center"/>
          </w:tcPr>
          <w:p w14:paraId="3A1A749D" w14:textId="77777777" w:rsidR="007F2695" w:rsidRPr="00C34128" w:rsidRDefault="007F2695">
            <w:pPr>
              <w:rPr>
                <w:rFonts w:ascii="Arial" w:hAnsi="Arial" w:cs="Arial"/>
                <w:sz w:val="18"/>
              </w:rPr>
            </w:pPr>
          </w:p>
        </w:tc>
        <w:tc>
          <w:tcPr>
            <w:tcW w:w="2894" w:type="dxa"/>
            <w:vAlign w:val="center"/>
          </w:tcPr>
          <w:p w14:paraId="23F86BC6" w14:textId="77777777" w:rsidR="007F2695" w:rsidRPr="00C34128" w:rsidRDefault="007F2695">
            <w:pPr>
              <w:rPr>
                <w:rFonts w:ascii="Arial" w:hAnsi="Arial" w:cs="Arial"/>
                <w:sz w:val="18"/>
              </w:rPr>
            </w:pPr>
          </w:p>
        </w:tc>
      </w:tr>
      <w:tr w:rsidR="007F2695" w:rsidRPr="00C34128" w14:paraId="14D0EA8B" w14:textId="77777777" w:rsidTr="001801F0">
        <w:trPr>
          <w:cantSplit/>
        </w:trPr>
        <w:tc>
          <w:tcPr>
            <w:tcW w:w="4320" w:type="dxa"/>
          </w:tcPr>
          <w:p w14:paraId="4309AF60" w14:textId="77777777" w:rsidR="007F2695" w:rsidRPr="00C34128" w:rsidRDefault="007F2695">
            <w:pPr>
              <w:pStyle w:val="Heading3"/>
              <w:keepNext w:val="0"/>
              <w:widowControl w:val="0"/>
              <w:rPr>
                <w:rFonts w:ascii="Arial" w:hAnsi="Arial" w:cs="Arial"/>
                <w:sz w:val="18"/>
              </w:rPr>
            </w:pPr>
            <w:r w:rsidRPr="00C34128">
              <w:rPr>
                <w:rFonts w:ascii="Arial" w:hAnsi="Arial" w:cs="Arial"/>
                <w:sz w:val="18"/>
              </w:rPr>
              <w:lastRenderedPageBreak/>
              <w:t>Annual Review and Adoption of Investment Policy and Strategies</w:t>
            </w:r>
          </w:p>
          <w:p w14:paraId="6599E00C" w14:textId="77777777" w:rsidR="007F2695" w:rsidRPr="00C34128" w:rsidRDefault="007F2695">
            <w:pPr>
              <w:widowControl w:val="0"/>
              <w:rPr>
                <w:rFonts w:ascii="Arial" w:hAnsi="Arial" w:cs="Arial"/>
                <w:sz w:val="18"/>
              </w:rPr>
            </w:pPr>
            <w:r w:rsidRPr="00C34128">
              <w:rPr>
                <w:rFonts w:ascii="Arial" w:hAnsi="Arial" w:cs="Arial"/>
                <w:sz w:val="18"/>
              </w:rPr>
              <w:t xml:space="preserve">Investment Policy must require the governing body to, not less than annually, adopt a written instrument stating that it has reviewed the Investment Policy and investment strategies and that the written instrument so adopted shall record any changes made to either the policy or strategies. </w:t>
            </w:r>
            <w:r w:rsidRPr="00C34128">
              <w:rPr>
                <w:rFonts w:ascii="Arial" w:hAnsi="Arial" w:cs="Arial"/>
                <w:b/>
                <w:bCs/>
                <w:sz w:val="18"/>
              </w:rPr>
              <w:t>PFIA 2256.005 (e)</w:t>
            </w:r>
          </w:p>
        </w:tc>
        <w:tc>
          <w:tcPr>
            <w:tcW w:w="1303" w:type="dxa"/>
            <w:vAlign w:val="center"/>
          </w:tcPr>
          <w:p w14:paraId="5B3514F5" w14:textId="77777777" w:rsidR="007F2695" w:rsidRPr="00C34128" w:rsidRDefault="007F2695">
            <w:pPr>
              <w:jc w:val="center"/>
              <w:rPr>
                <w:rFonts w:ascii="Arial" w:hAnsi="Arial" w:cs="Arial"/>
                <w:smallCaps/>
                <w:sz w:val="18"/>
              </w:rPr>
            </w:pPr>
          </w:p>
        </w:tc>
        <w:tc>
          <w:tcPr>
            <w:tcW w:w="2535" w:type="dxa"/>
            <w:vAlign w:val="center"/>
          </w:tcPr>
          <w:p w14:paraId="1E71EAB9" w14:textId="77777777" w:rsidR="007F2695" w:rsidRPr="00C34128" w:rsidRDefault="007F2695">
            <w:pPr>
              <w:rPr>
                <w:rFonts w:ascii="Arial" w:hAnsi="Arial" w:cs="Arial"/>
                <w:sz w:val="18"/>
              </w:rPr>
            </w:pPr>
          </w:p>
        </w:tc>
        <w:tc>
          <w:tcPr>
            <w:tcW w:w="2894" w:type="dxa"/>
            <w:vAlign w:val="center"/>
          </w:tcPr>
          <w:p w14:paraId="13468E61" w14:textId="77777777" w:rsidR="007F2695" w:rsidRPr="00C34128" w:rsidRDefault="007F2695">
            <w:pPr>
              <w:rPr>
                <w:rFonts w:ascii="Arial" w:hAnsi="Arial" w:cs="Arial"/>
                <w:sz w:val="18"/>
              </w:rPr>
            </w:pPr>
          </w:p>
        </w:tc>
      </w:tr>
    </w:tbl>
    <w:p w14:paraId="2DC29F07" w14:textId="77777777" w:rsidR="007F2695" w:rsidRDefault="007F2695">
      <w:pPr>
        <w:rPr>
          <w:rFonts w:ascii="Arial" w:hAnsi="Arial" w:cs="Arial"/>
          <w:sz w:val="20"/>
        </w:rPr>
      </w:pPr>
    </w:p>
    <w:p w14:paraId="1E5BA2CA" w14:textId="77777777" w:rsidR="00D07D5F" w:rsidRDefault="00D07D5F">
      <w:pPr>
        <w:rPr>
          <w:rFonts w:ascii="Arial" w:hAnsi="Arial" w:cs="Arial"/>
          <w:sz w:val="20"/>
        </w:rPr>
      </w:pPr>
    </w:p>
    <w:p w14:paraId="3C80F1A8" w14:textId="77777777" w:rsidR="00D07D5F" w:rsidRDefault="00D07D5F">
      <w:pPr>
        <w:rPr>
          <w:rFonts w:ascii="Arial" w:hAnsi="Arial" w:cs="Arial"/>
          <w:sz w:val="20"/>
        </w:rPr>
      </w:pPr>
    </w:p>
    <w:p w14:paraId="39C37E71" w14:textId="77777777" w:rsidR="00E37E55" w:rsidRDefault="00E37E55">
      <w:pPr>
        <w:rPr>
          <w:rFonts w:ascii="Arial" w:hAnsi="Arial" w:cs="Arial"/>
          <w:sz w:val="20"/>
        </w:rPr>
      </w:pPr>
      <w:r>
        <w:rPr>
          <w:rFonts w:ascii="Arial" w:hAnsi="Arial" w:cs="Arial"/>
          <w:sz w:val="20"/>
        </w:rPr>
        <w:t>**Reviewer may assign an “acceptable” grade to an item and, if desired, also indicate how the discussion of the item may be improved in the policy.</w:t>
      </w:r>
    </w:p>
    <w:p w14:paraId="1BD688AC" w14:textId="77777777" w:rsidR="00BC61E6" w:rsidRDefault="00BC61E6">
      <w:pPr>
        <w:rPr>
          <w:rFonts w:ascii="Arial" w:hAnsi="Arial" w:cs="Arial"/>
          <w:sz w:val="20"/>
        </w:rPr>
      </w:pPr>
    </w:p>
    <w:p w14:paraId="1045FD3D" w14:textId="77777777" w:rsidR="00BC61E6" w:rsidRDefault="00BC61E6">
      <w:pPr>
        <w:rPr>
          <w:rFonts w:ascii="Arial" w:hAnsi="Arial" w:cs="Arial"/>
          <w:sz w:val="20"/>
        </w:rPr>
      </w:pPr>
    </w:p>
    <w:p w14:paraId="6810BCF6" w14:textId="77777777" w:rsidR="00BC61E6" w:rsidRDefault="00BC61E6">
      <w:pPr>
        <w:rPr>
          <w:rFonts w:ascii="Arial" w:hAnsi="Arial" w:cs="Arial"/>
          <w:sz w:val="20"/>
        </w:rPr>
      </w:pPr>
    </w:p>
    <w:p w14:paraId="652E2539" w14:textId="77777777" w:rsidR="00BC61E6" w:rsidRDefault="00BC61E6">
      <w:pPr>
        <w:rPr>
          <w:rFonts w:ascii="Arial" w:hAnsi="Arial" w:cs="Arial"/>
          <w:sz w:val="20"/>
        </w:rPr>
      </w:pPr>
    </w:p>
    <w:p w14:paraId="3656DF36" w14:textId="77777777" w:rsidR="00BC61E6" w:rsidRDefault="00BC61E6">
      <w:pPr>
        <w:rPr>
          <w:rFonts w:ascii="Arial" w:hAnsi="Arial" w:cs="Arial"/>
          <w:sz w:val="20"/>
        </w:rPr>
      </w:pPr>
    </w:p>
    <w:p w14:paraId="3DBDFCD9" w14:textId="77777777" w:rsidR="00BC61E6" w:rsidRDefault="00BC61E6">
      <w:pPr>
        <w:rPr>
          <w:rFonts w:ascii="Arial" w:hAnsi="Arial" w:cs="Arial"/>
          <w:sz w:val="20"/>
        </w:rPr>
      </w:pPr>
    </w:p>
    <w:sectPr w:rsidR="00BC61E6" w:rsidSect="006E4717">
      <w:footerReference w:type="default" r:id="rId11"/>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76D9" w14:textId="77777777" w:rsidR="00971900" w:rsidRDefault="00971900">
      <w:r>
        <w:separator/>
      </w:r>
    </w:p>
  </w:endnote>
  <w:endnote w:type="continuationSeparator" w:id="0">
    <w:p w14:paraId="5750FD64" w14:textId="77777777" w:rsidR="00971900" w:rsidRDefault="0097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 BT">
    <w:altName w:val="Trebuchet MS"/>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9F0D" w14:textId="77777777" w:rsidR="00D07D5F" w:rsidRDefault="00D07D5F">
    <w:pPr>
      <w:pStyle w:val="Footer"/>
      <w:jc w:val="right"/>
      <w:rPr>
        <w:rFonts w:ascii="NewsGoth BT" w:hAnsi="NewsGoth BT"/>
        <w:sz w:val="18"/>
      </w:rPr>
    </w:pPr>
    <w:r>
      <w:rPr>
        <w:rFonts w:ascii="NewsGoth BT" w:hAnsi="NewsGoth BT"/>
        <w:snapToGrid w:val="0"/>
        <w:sz w:val="18"/>
      </w:rPr>
      <w:t xml:space="preserve">Page </w:t>
    </w:r>
    <w:r>
      <w:rPr>
        <w:rFonts w:ascii="NewsGoth BT" w:hAnsi="NewsGoth BT"/>
        <w:snapToGrid w:val="0"/>
        <w:sz w:val="18"/>
      </w:rPr>
      <w:fldChar w:fldCharType="begin"/>
    </w:r>
    <w:r>
      <w:rPr>
        <w:rFonts w:ascii="NewsGoth BT" w:hAnsi="NewsGoth BT"/>
        <w:snapToGrid w:val="0"/>
        <w:sz w:val="18"/>
      </w:rPr>
      <w:instrText xml:space="preserve"> PAGE </w:instrText>
    </w:r>
    <w:r>
      <w:rPr>
        <w:rFonts w:ascii="NewsGoth BT" w:hAnsi="NewsGoth BT"/>
        <w:snapToGrid w:val="0"/>
        <w:sz w:val="18"/>
      </w:rPr>
      <w:fldChar w:fldCharType="separate"/>
    </w:r>
    <w:r w:rsidR="003A5232">
      <w:rPr>
        <w:rFonts w:ascii="NewsGoth BT" w:hAnsi="NewsGoth BT"/>
        <w:noProof/>
        <w:snapToGrid w:val="0"/>
        <w:sz w:val="18"/>
      </w:rPr>
      <w:t>6</w:t>
    </w:r>
    <w:r>
      <w:rPr>
        <w:rFonts w:ascii="NewsGoth BT" w:hAnsi="NewsGoth BT"/>
        <w:snapToGrid w:val="0"/>
        <w:sz w:val="18"/>
      </w:rPr>
      <w:fldChar w:fldCharType="end"/>
    </w:r>
    <w:r>
      <w:rPr>
        <w:rFonts w:ascii="NewsGoth BT" w:hAnsi="NewsGoth BT"/>
        <w:snapToGrid w:val="0"/>
        <w:sz w:val="18"/>
      </w:rPr>
      <w:t xml:space="preserve"> of </w:t>
    </w:r>
    <w:r>
      <w:rPr>
        <w:rFonts w:ascii="NewsGoth BT" w:hAnsi="NewsGoth BT"/>
        <w:snapToGrid w:val="0"/>
        <w:sz w:val="18"/>
      </w:rPr>
      <w:fldChar w:fldCharType="begin"/>
    </w:r>
    <w:r>
      <w:rPr>
        <w:rFonts w:ascii="NewsGoth BT" w:hAnsi="NewsGoth BT"/>
        <w:snapToGrid w:val="0"/>
        <w:sz w:val="18"/>
      </w:rPr>
      <w:instrText xml:space="preserve"> NUMPAGES </w:instrText>
    </w:r>
    <w:r>
      <w:rPr>
        <w:rFonts w:ascii="NewsGoth BT" w:hAnsi="NewsGoth BT"/>
        <w:snapToGrid w:val="0"/>
        <w:sz w:val="18"/>
      </w:rPr>
      <w:fldChar w:fldCharType="separate"/>
    </w:r>
    <w:r w:rsidR="003A5232">
      <w:rPr>
        <w:rFonts w:ascii="NewsGoth BT" w:hAnsi="NewsGoth BT"/>
        <w:noProof/>
        <w:snapToGrid w:val="0"/>
        <w:sz w:val="18"/>
      </w:rPr>
      <w:t>6</w:t>
    </w:r>
    <w:r>
      <w:rPr>
        <w:rFonts w:ascii="NewsGoth BT" w:hAnsi="NewsGoth BT"/>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EFB1" w14:textId="77777777" w:rsidR="00971900" w:rsidRDefault="00971900">
      <w:r>
        <w:separator/>
      </w:r>
    </w:p>
  </w:footnote>
  <w:footnote w:type="continuationSeparator" w:id="0">
    <w:p w14:paraId="5BB08098" w14:textId="77777777" w:rsidR="00971900" w:rsidRDefault="00971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3406F"/>
    <w:multiLevelType w:val="hybridMultilevel"/>
    <w:tmpl w:val="3354792E"/>
    <w:lvl w:ilvl="0" w:tplc="556466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1B41BD"/>
    <w:multiLevelType w:val="hybridMultilevel"/>
    <w:tmpl w:val="53D214F4"/>
    <w:lvl w:ilvl="0" w:tplc="08666E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D63EAA"/>
    <w:multiLevelType w:val="hybridMultilevel"/>
    <w:tmpl w:val="802C861E"/>
    <w:lvl w:ilvl="0" w:tplc="27DEC71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3F055B"/>
    <w:multiLevelType w:val="hybridMultilevel"/>
    <w:tmpl w:val="53B85342"/>
    <w:lvl w:ilvl="0" w:tplc="55646644">
      <w:start w:val="1"/>
      <w:numFmt w:val="low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 w15:restartNumberingAfterBreak="0">
    <w:nsid w:val="5A4E2EB2"/>
    <w:multiLevelType w:val="hybridMultilevel"/>
    <w:tmpl w:val="2AAA1356"/>
    <w:lvl w:ilvl="0" w:tplc="556466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724781"/>
    <w:multiLevelType w:val="hybridMultilevel"/>
    <w:tmpl w:val="2F4CE434"/>
    <w:lvl w:ilvl="0" w:tplc="08666E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AD65C7"/>
    <w:multiLevelType w:val="hybridMultilevel"/>
    <w:tmpl w:val="A4141262"/>
    <w:lvl w:ilvl="0" w:tplc="556466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7B468E"/>
    <w:multiLevelType w:val="hybridMultilevel"/>
    <w:tmpl w:val="16D42DF0"/>
    <w:lvl w:ilvl="0" w:tplc="556466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576D50"/>
    <w:multiLevelType w:val="hybridMultilevel"/>
    <w:tmpl w:val="900813FC"/>
    <w:lvl w:ilvl="0" w:tplc="6C6CC5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66935853">
    <w:abstractNumId w:val="8"/>
  </w:num>
  <w:num w:numId="2" w16cid:durableId="1990477318">
    <w:abstractNumId w:val="2"/>
  </w:num>
  <w:num w:numId="3" w16cid:durableId="890069005">
    <w:abstractNumId w:val="5"/>
  </w:num>
  <w:num w:numId="4" w16cid:durableId="860162377">
    <w:abstractNumId w:val="1"/>
  </w:num>
  <w:num w:numId="5" w16cid:durableId="756050386">
    <w:abstractNumId w:val="6"/>
  </w:num>
  <w:num w:numId="6" w16cid:durableId="636253712">
    <w:abstractNumId w:val="4"/>
  </w:num>
  <w:num w:numId="7" w16cid:durableId="29456691">
    <w:abstractNumId w:val="0"/>
  </w:num>
  <w:num w:numId="8" w16cid:durableId="520314056">
    <w:abstractNumId w:val="7"/>
  </w:num>
  <w:num w:numId="9" w16cid:durableId="1198129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690E"/>
    <w:rsid w:val="0004003D"/>
    <w:rsid w:val="000C5832"/>
    <w:rsid w:val="000F7187"/>
    <w:rsid w:val="00136436"/>
    <w:rsid w:val="001801F0"/>
    <w:rsid w:val="00195F17"/>
    <w:rsid w:val="001C171D"/>
    <w:rsid w:val="00311622"/>
    <w:rsid w:val="00325B6F"/>
    <w:rsid w:val="00331E0C"/>
    <w:rsid w:val="003A5232"/>
    <w:rsid w:val="00405B2E"/>
    <w:rsid w:val="00524EAC"/>
    <w:rsid w:val="005A0355"/>
    <w:rsid w:val="00612566"/>
    <w:rsid w:val="006703F9"/>
    <w:rsid w:val="006D17B8"/>
    <w:rsid w:val="006E2A19"/>
    <w:rsid w:val="006E4717"/>
    <w:rsid w:val="00746A16"/>
    <w:rsid w:val="007F2695"/>
    <w:rsid w:val="007F50C9"/>
    <w:rsid w:val="0084690E"/>
    <w:rsid w:val="008945C5"/>
    <w:rsid w:val="008B035B"/>
    <w:rsid w:val="00971900"/>
    <w:rsid w:val="00995AC1"/>
    <w:rsid w:val="00995FB8"/>
    <w:rsid w:val="00B01954"/>
    <w:rsid w:val="00B56D27"/>
    <w:rsid w:val="00B84EF8"/>
    <w:rsid w:val="00BC61E6"/>
    <w:rsid w:val="00BD0085"/>
    <w:rsid w:val="00BF32AE"/>
    <w:rsid w:val="00C34128"/>
    <w:rsid w:val="00D07D5F"/>
    <w:rsid w:val="00D8406D"/>
    <w:rsid w:val="00DC0BC1"/>
    <w:rsid w:val="00DE0378"/>
    <w:rsid w:val="00E37E55"/>
    <w:rsid w:val="00EE060F"/>
    <w:rsid w:val="00F32D98"/>
    <w:rsid w:val="00F43360"/>
    <w:rsid w:val="00F63E3F"/>
    <w:rsid w:val="00FB5E82"/>
    <w:rsid w:val="00F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F7A2692"/>
  <w15:chartTrackingRefBased/>
  <w15:docId w15:val="{01056816-5781-4FA6-911D-750E2491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
      <w:outlineLvl w:val="0"/>
    </w:pPr>
    <w:rPr>
      <w:rFonts w:ascii="Abadi MT Condensed Light" w:hAnsi="Abadi MT Condensed Light"/>
      <w:b/>
      <w:bCs/>
      <w:sz w:val="22"/>
    </w:rPr>
  </w:style>
  <w:style w:type="paragraph" w:styleId="Heading2">
    <w:name w:val="heading 2"/>
    <w:basedOn w:val="Normal"/>
    <w:next w:val="Normal"/>
    <w:qFormat/>
    <w:pPr>
      <w:keepNext/>
      <w:ind w:left="252"/>
      <w:jc w:val="center"/>
      <w:outlineLvl w:val="1"/>
    </w:pPr>
    <w:rPr>
      <w:rFonts w:ascii="Abadi MT Condensed Light" w:hAnsi="Abadi MT Condensed Light"/>
      <w:b/>
      <w:bCs/>
      <w:sz w:val="22"/>
    </w:rPr>
  </w:style>
  <w:style w:type="paragraph" w:styleId="Heading3">
    <w:name w:val="heading 3"/>
    <w:basedOn w:val="Normal"/>
    <w:next w:val="Normal"/>
    <w:qFormat/>
    <w:pPr>
      <w:keepNext/>
      <w:outlineLvl w:val="2"/>
    </w:pPr>
    <w:rPr>
      <w:rFonts w:ascii="Abadi MT Condensed Light" w:hAnsi="Abadi MT Condensed Light"/>
      <w:b/>
      <w:bCs/>
      <w:sz w:val="22"/>
    </w:rPr>
  </w:style>
  <w:style w:type="paragraph" w:styleId="Heading4">
    <w:name w:val="heading 4"/>
    <w:basedOn w:val="Normal"/>
    <w:next w:val="Normal"/>
    <w:qFormat/>
    <w:pPr>
      <w:keepNext/>
      <w:jc w:val="center"/>
      <w:outlineLvl w:val="3"/>
    </w:pPr>
    <w:rPr>
      <w:rFonts w:ascii="Abadi MT Condensed Light" w:hAnsi="Abadi MT Condensed Light"/>
      <w:b/>
      <w:bCs/>
      <w:sz w:val="22"/>
    </w:rPr>
  </w:style>
  <w:style w:type="paragraph" w:styleId="Heading5">
    <w:name w:val="heading 5"/>
    <w:basedOn w:val="Normal"/>
    <w:next w:val="Normal"/>
    <w:qFormat/>
    <w:pPr>
      <w:keepNext/>
      <w:jc w:val="center"/>
      <w:outlineLvl w:val="4"/>
    </w:pPr>
    <w:rPr>
      <w:rFonts w:ascii="Abadi MT Condensed Light" w:hAnsi="Abadi MT Condensed Ligh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badi MT Condensed Light" w:hAnsi="Abadi MT Condensed Light"/>
      <w:sz w:val="22"/>
    </w:rPr>
  </w:style>
  <w:style w:type="paragraph" w:styleId="BodyText2">
    <w:name w:val="Body Text 2"/>
    <w:basedOn w:val="Normal"/>
    <w:pPr>
      <w:jc w:val="center"/>
    </w:pPr>
    <w:rPr>
      <w:rFonts w:ascii="Abadi MT Condensed Light" w:hAnsi="Abadi MT Condensed Light"/>
      <w:b/>
      <w:bC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180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17B8"/>
    <w:rPr>
      <w:color w:val="0563C1"/>
      <w:u w:val="single"/>
    </w:rPr>
  </w:style>
  <w:style w:type="character" w:styleId="FollowedHyperlink">
    <w:name w:val="FollowedHyperlink"/>
    <w:rsid w:val="000F7187"/>
    <w:rPr>
      <w:color w:val="954F72"/>
      <w:u w:val="single"/>
    </w:rPr>
  </w:style>
  <w:style w:type="character" w:styleId="UnresolvedMention">
    <w:name w:val="Unresolved Mention"/>
    <w:basedOn w:val="DefaultParagraphFont"/>
    <w:uiPriority w:val="99"/>
    <w:semiHidden/>
    <w:unhideWhenUsed/>
    <w:rsid w:val="00B56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61710">
      <w:bodyDiv w:val="1"/>
      <w:marLeft w:val="0"/>
      <w:marRight w:val="0"/>
      <w:marTop w:val="0"/>
      <w:marBottom w:val="0"/>
      <w:divBdr>
        <w:top w:val="none" w:sz="0" w:space="0" w:color="auto"/>
        <w:left w:val="none" w:sz="0" w:space="0" w:color="auto"/>
        <w:bottom w:val="none" w:sz="0" w:space="0" w:color="auto"/>
        <w:right w:val="none" w:sz="0" w:space="0" w:color="auto"/>
      </w:divBdr>
      <w:divsChild>
        <w:div w:id="100879484">
          <w:marLeft w:val="0"/>
          <w:marRight w:val="0"/>
          <w:marTop w:val="0"/>
          <w:marBottom w:val="0"/>
          <w:divBdr>
            <w:top w:val="none" w:sz="0" w:space="0" w:color="auto"/>
            <w:left w:val="none" w:sz="0" w:space="0" w:color="auto"/>
            <w:bottom w:val="none" w:sz="0" w:space="0" w:color="auto"/>
            <w:right w:val="none" w:sz="0" w:space="0" w:color="auto"/>
          </w:divBdr>
        </w:div>
        <w:div w:id="170262583">
          <w:marLeft w:val="0"/>
          <w:marRight w:val="0"/>
          <w:marTop w:val="0"/>
          <w:marBottom w:val="0"/>
          <w:divBdr>
            <w:top w:val="none" w:sz="0" w:space="0" w:color="auto"/>
            <w:left w:val="none" w:sz="0" w:space="0" w:color="auto"/>
            <w:bottom w:val="none" w:sz="0" w:space="0" w:color="auto"/>
            <w:right w:val="none" w:sz="0" w:space="0" w:color="auto"/>
          </w:divBdr>
        </w:div>
        <w:div w:id="188496943">
          <w:marLeft w:val="0"/>
          <w:marRight w:val="0"/>
          <w:marTop w:val="0"/>
          <w:marBottom w:val="0"/>
          <w:divBdr>
            <w:top w:val="none" w:sz="0" w:space="0" w:color="auto"/>
            <w:left w:val="none" w:sz="0" w:space="0" w:color="auto"/>
            <w:bottom w:val="none" w:sz="0" w:space="0" w:color="auto"/>
            <w:right w:val="none" w:sz="0" w:space="0" w:color="auto"/>
          </w:divBdr>
        </w:div>
        <w:div w:id="207492165">
          <w:marLeft w:val="0"/>
          <w:marRight w:val="0"/>
          <w:marTop w:val="0"/>
          <w:marBottom w:val="0"/>
          <w:divBdr>
            <w:top w:val="none" w:sz="0" w:space="0" w:color="auto"/>
            <w:left w:val="none" w:sz="0" w:space="0" w:color="auto"/>
            <w:bottom w:val="none" w:sz="0" w:space="0" w:color="auto"/>
            <w:right w:val="none" w:sz="0" w:space="0" w:color="auto"/>
          </w:divBdr>
        </w:div>
        <w:div w:id="278533177">
          <w:marLeft w:val="0"/>
          <w:marRight w:val="0"/>
          <w:marTop w:val="0"/>
          <w:marBottom w:val="0"/>
          <w:divBdr>
            <w:top w:val="none" w:sz="0" w:space="0" w:color="auto"/>
            <w:left w:val="none" w:sz="0" w:space="0" w:color="auto"/>
            <w:bottom w:val="none" w:sz="0" w:space="0" w:color="auto"/>
            <w:right w:val="none" w:sz="0" w:space="0" w:color="auto"/>
          </w:divBdr>
        </w:div>
        <w:div w:id="358509608">
          <w:marLeft w:val="0"/>
          <w:marRight w:val="0"/>
          <w:marTop w:val="0"/>
          <w:marBottom w:val="0"/>
          <w:divBdr>
            <w:top w:val="none" w:sz="0" w:space="0" w:color="auto"/>
            <w:left w:val="none" w:sz="0" w:space="0" w:color="auto"/>
            <w:bottom w:val="none" w:sz="0" w:space="0" w:color="auto"/>
            <w:right w:val="none" w:sz="0" w:space="0" w:color="auto"/>
          </w:divBdr>
        </w:div>
        <w:div w:id="426660194">
          <w:marLeft w:val="0"/>
          <w:marRight w:val="0"/>
          <w:marTop w:val="0"/>
          <w:marBottom w:val="0"/>
          <w:divBdr>
            <w:top w:val="none" w:sz="0" w:space="0" w:color="auto"/>
            <w:left w:val="none" w:sz="0" w:space="0" w:color="auto"/>
            <w:bottom w:val="none" w:sz="0" w:space="0" w:color="auto"/>
            <w:right w:val="none" w:sz="0" w:space="0" w:color="auto"/>
          </w:divBdr>
        </w:div>
        <w:div w:id="444229673">
          <w:marLeft w:val="0"/>
          <w:marRight w:val="0"/>
          <w:marTop w:val="0"/>
          <w:marBottom w:val="0"/>
          <w:divBdr>
            <w:top w:val="none" w:sz="0" w:space="0" w:color="auto"/>
            <w:left w:val="none" w:sz="0" w:space="0" w:color="auto"/>
            <w:bottom w:val="none" w:sz="0" w:space="0" w:color="auto"/>
            <w:right w:val="none" w:sz="0" w:space="0" w:color="auto"/>
          </w:divBdr>
        </w:div>
        <w:div w:id="467824782">
          <w:marLeft w:val="0"/>
          <w:marRight w:val="0"/>
          <w:marTop w:val="0"/>
          <w:marBottom w:val="0"/>
          <w:divBdr>
            <w:top w:val="none" w:sz="0" w:space="0" w:color="auto"/>
            <w:left w:val="none" w:sz="0" w:space="0" w:color="auto"/>
            <w:bottom w:val="none" w:sz="0" w:space="0" w:color="auto"/>
            <w:right w:val="none" w:sz="0" w:space="0" w:color="auto"/>
          </w:divBdr>
        </w:div>
        <w:div w:id="472407425">
          <w:marLeft w:val="0"/>
          <w:marRight w:val="0"/>
          <w:marTop w:val="0"/>
          <w:marBottom w:val="0"/>
          <w:divBdr>
            <w:top w:val="none" w:sz="0" w:space="0" w:color="auto"/>
            <w:left w:val="none" w:sz="0" w:space="0" w:color="auto"/>
            <w:bottom w:val="none" w:sz="0" w:space="0" w:color="auto"/>
            <w:right w:val="none" w:sz="0" w:space="0" w:color="auto"/>
          </w:divBdr>
        </w:div>
        <w:div w:id="480850114">
          <w:marLeft w:val="0"/>
          <w:marRight w:val="0"/>
          <w:marTop w:val="0"/>
          <w:marBottom w:val="0"/>
          <w:divBdr>
            <w:top w:val="none" w:sz="0" w:space="0" w:color="auto"/>
            <w:left w:val="none" w:sz="0" w:space="0" w:color="auto"/>
            <w:bottom w:val="none" w:sz="0" w:space="0" w:color="auto"/>
            <w:right w:val="none" w:sz="0" w:space="0" w:color="auto"/>
          </w:divBdr>
        </w:div>
        <w:div w:id="594747216">
          <w:marLeft w:val="0"/>
          <w:marRight w:val="0"/>
          <w:marTop w:val="0"/>
          <w:marBottom w:val="0"/>
          <w:divBdr>
            <w:top w:val="none" w:sz="0" w:space="0" w:color="auto"/>
            <w:left w:val="none" w:sz="0" w:space="0" w:color="auto"/>
            <w:bottom w:val="none" w:sz="0" w:space="0" w:color="auto"/>
            <w:right w:val="none" w:sz="0" w:space="0" w:color="auto"/>
          </w:divBdr>
        </w:div>
        <w:div w:id="598566204">
          <w:marLeft w:val="0"/>
          <w:marRight w:val="0"/>
          <w:marTop w:val="0"/>
          <w:marBottom w:val="0"/>
          <w:divBdr>
            <w:top w:val="none" w:sz="0" w:space="0" w:color="auto"/>
            <w:left w:val="none" w:sz="0" w:space="0" w:color="auto"/>
            <w:bottom w:val="none" w:sz="0" w:space="0" w:color="auto"/>
            <w:right w:val="none" w:sz="0" w:space="0" w:color="auto"/>
          </w:divBdr>
        </w:div>
        <w:div w:id="624505275">
          <w:marLeft w:val="0"/>
          <w:marRight w:val="0"/>
          <w:marTop w:val="0"/>
          <w:marBottom w:val="0"/>
          <w:divBdr>
            <w:top w:val="none" w:sz="0" w:space="0" w:color="auto"/>
            <w:left w:val="none" w:sz="0" w:space="0" w:color="auto"/>
            <w:bottom w:val="none" w:sz="0" w:space="0" w:color="auto"/>
            <w:right w:val="none" w:sz="0" w:space="0" w:color="auto"/>
          </w:divBdr>
        </w:div>
        <w:div w:id="633024030">
          <w:marLeft w:val="0"/>
          <w:marRight w:val="0"/>
          <w:marTop w:val="0"/>
          <w:marBottom w:val="0"/>
          <w:divBdr>
            <w:top w:val="none" w:sz="0" w:space="0" w:color="auto"/>
            <w:left w:val="none" w:sz="0" w:space="0" w:color="auto"/>
            <w:bottom w:val="none" w:sz="0" w:space="0" w:color="auto"/>
            <w:right w:val="none" w:sz="0" w:space="0" w:color="auto"/>
          </w:divBdr>
        </w:div>
        <w:div w:id="641008476">
          <w:marLeft w:val="0"/>
          <w:marRight w:val="0"/>
          <w:marTop w:val="0"/>
          <w:marBottom w:val="0"/>
          <w:divBdr>
            <w:top w:val="none" w:sz="0" w:space="0" w:color="auto"/>
            <w:left w:val="none" w:sz="0" w:space="0" w:color="auto"/>
            <w:bottom w:val="none" w:sz="0" w:space="0" w:color="auto"/>
            <w:right w:val="none" w:sz="0" w:space="0" w:color="auto"/>
          </w:divBdr>
        </w:div>
        <w:div w:id="710422737">
          <w:marLeft w:val="0"/>
          <w:marRight w:val="0"/>
          <w:marTop w:val="0"/>
          <w:marBottom w:val="0"/>
          <w:divBdr>
            <w:top w:val="none" w:sz="0" w:space="0" w:color="auto"/>
            <w:left w:val="none" w:sz="0" w:space="0" w:color="auto"/>
            <w:bottom w:val="none" w:sz="0" w:space="0" w:color="auto"/>
            <w:right w:val="none" w:sz="0" w:space="0" w:color="auto"/>
          </w:divBdr>
        </w:div>
        <w:div w:id="733821293">
          <w:marLeft w:val="0"/>
          <w:marRight w:val="0"/>
          <w:marTop w:val="0"/>
          <w:marBottom w:val="0"/>
          <w:divBdr>
            <w:top w:val="none" w:sz="0" w:space="0" w:color="auto"/>
            <w:left w:val="none" w:sz="0" w:space="0" w:color="auto"/>
            <w:bottom w:val="none" w:sz="0" w:space="0" w:color="auto"/>
            <w:right w:val="none" w:sz="0" w:space="0" w:color="auto"/>
          </w:divBdr>
        </w:div>
        <w:div w:id="742263555">
          <w:marLeft w:val="0"/>
          <w:marRight w:val="0"/>
          <w:marTop w:val="0"/>
          <w:marBottom w:val="0"/>
          <w:divBdr>
            <w:top w:val="none" w:sz="0" w:space="0" w:color="auto"/>
            <w:left w:val="none" w:sz="0" w:space="0" w:color="auto"/>
            <w:bottom w:val="none" w:sz="0" w:space="0" w:color="auto"/>
            <w:right w:val="none" w:sz="0" w:space="0" w:color="auto"/>
          </w:divBdr>
        </w:div>
        <w:div w:id="751926343">
          <w:marLeft w:val="0"/>
          <w:marRight w:val="0"/>
          <w:marTop w:val="0"/>
          <w:marBottom w:val="0"/>
          <w:divBdr>
            <w:top w:val="none" w:sz="0" w:space="0" w:color="auto"/>
            <w:left w:val="none" w:sz="0" w:space="0" w:color="auto"/>
            <w:bottom w:val="none" w:sz="0" w:space="0" w:color="auto"/>
            <w:right w:val="none" w:sz="0" w:space="0" w:color="auto"/>
          </w:divBdr>
        </w:div>
        <w:div w:id="776028700">
          <w:marLeft w:val="0"/>
          <w:marRight w:val="0"/>
          <w:marTop w:val="0"/>
          <w:marBottom w:val="0"/>
          <w:divBdr>
            <w:top w:val="none" w:sz="0" w:space="0" w:color="auto"/>
            <w:left w:val="none" w:sz="0" w:space="0" w:color="auto"/>
            <w:bottom w:val="none" w:sz="0" w:space="0" w:color="auto"/>
            <w:right w:val="none" w:sz="0" w:space="0" w:color="auto"/>
          </w:divBdr>
        </w:div>
        <w:div w:id="788279999">
          <w:marLeft w:val="0"/>
          <w:marRight w:val="0"/>
          <w:marTop w:val="0"/>
          <w:marBottom w:val="0"/>
          <w:divBdr>
            <w:top w:val="none" w:sz="0" w:space="0" w:color="auto"/>
            <w:left w:val="none" w:sz="0" w:space="0" w:color="auto"/>
            <w:bottom w:val="none" w:sz="0" w:space="0" w:color="auto"/>
            <w:right w:val="none" w:sz="0" w:space="0" w:color="auto"/>
          </w:divBdr>
        </w:div>
        <w:div w:id="800077620">
          <w:marLeft w:val="0"/>
          <w:marRight w:val="0"/>
          <w:marTop w:val="0"/>
          <w:marBottom w:val="0"/>
          <w:divBdr>
            <w:top w:val="none" w:sz="0" w:space="0" w:color="auto"/>
            <w:left w:val="none" w:sz="0" w:space="0" w:color="auto"/>
            <w:bottom w:val="none" w:sz="0" w:space="0" w:color="auto"/>
            <w:right w:val="none" w:sz="0" w:space="0" w:color="auto"/>
          </w:divBdr>
        </w:div>
        <w:div w:id="823399118">
          <w:marLeft w:val="0"/>
          <w:marRight w:val="0"/>
          <w:marTop w:val="0"/>
          <w:marBottom w:val="0"/>
          <w:divBdr>
            <w:top w:val="none" w:sz="0" w:space="0" w:color="auto"/>
            <w:left w:val="none" w:sz="0" w:space="0" w:color="auto"/>
            <w:bottom w:val="none" w:sz="0" w:space="0" w:color="auto"/>
            <w:right w:val="none" w:sz="0" w:space="0" w:color="auto"/>
          </w:divBdr>
        </w:div>
        <w:div w:id="837119356">
          <w:marLeft w:val="0"/>
          <w:marRight w:val="0"/>
          <w:marTop w:val="0"/>
          <w:marBottom w:val="0"/>
          <w:divBdr>
            <w:top w:val="none" w:sz="0" w:space="0" w:color="auto"/>
            <w:left w:val="none" w:sz="0" w:space="0" w:color="auto"/>
            <w:bottom w:val="none" w:sz="0" w:space="0" w:color="auto"/>
            <w:right w:val="none" w:sz="0" w:space="0" w:color="auto"/>
          </w:divBdr>
        </w:div>
        <w:div w:id="849835561">
          <w:marLeft w:val="0"/>
          <w:marRight w:val="0"/>
          <w:marTop w:val="0"/>
          <w:marBottom w:val="0"/>
          <w:divBdr>
            <w:top w:val="none" w:sz="0" w:space="0" w:color="auto"/>
            <w:left w:val="none" w:sz="0" w:space="0" w:color="auto"/>
            <w:bottom w:val="none" w:sz="0" w:space="0" w:color="auto"/>
            <w:right w:val="none" w:sz="0" w:space="0" w:color="auto"/>
          </w:divBdr>
        </w:div>
        <w:div w:id="915823956">
          <w:marLeft w:val="0"/>
          <w:marRight w:val="0"/>
          <w:marTop w:val="0"/>
          <w:marBottom w:val="0"/>
          <w:divBdr>
            <w:top w:val="none" w:sz="0" w:space="0" w:color="auto"/>
            <w:left w:val="none" w:sz="0" w:space="0" w:color="auto"/>
            <w:bottom w:val="none" w:sz="0" w:space="0" w:color="auto"/>
            <w:right w:val="none" w:sz="0" w:space="0" w:color="auto"/>
          </w:divBdr>
        </w:div>
        <w:div w:id="946160001">
          <w:marLeft w:val="0"/>
          <w:marRight w:val="0"/>
          <w:marTop w:val="0"/>
          <w:marBottom w:val="0"/>
          <w:divBdr>
            <w:top w:val="none" w:sz="0" w:space="0" w:color="auto"/>
            <w:left w:val="none" w:sz="0" w:space="0" w:color="auto"/>
            <w:bottom w:val="none" w:sz="0" w:space="0" w:color="auto"/>
            <w:right w:val="none" w:sz="0" w:space="0" w:color="auto"/>
          </w:divBdr>
        </w:div>
        <w:div w:id="990330286">
          <w:marLeft w:val="0"/>
          <w:marRight w:val="0"/>
          <w:marTop w:val="0"/>
          <w:marBottom w:val="0"/>
          <w:divBdr>
            <w:top w:val="none" w:sz="0" w:space="0" w:color="auto"/>
            <w:left w:val="none" w:sz="0" w:space="0" w:color="auto"/>
            <w:bottom w:val="none" w:sz="0" w:space="0" w:color="auto"/>
            <w:right w:val="none" w:sz="0" w:space="0" w:color="auto"/>
          </w:divBdr>
        </w:div>
        <w:div w:id="1050374549">
          <w:marLeft w:val="0"/>
          <w:marRight w:val="0"/>
          <w:marTop w:val="0"/>
          <w:marBottom w:val="0"/>
          <w:divBdr>
            <w:top w:val="none" w:sz="0" w:space="0" w:color="auto"/>
            <w:left w:val="none" w:sz="0" w:space="0" w:color="auto"/>
            <w:bottom w:val="none" w:sz="0" w:space="0" w:color="auto"/>
            <w:right w:val="none" w:sz="0" w:space="0" w:color="auto"/>
          </w:divBdr>
        </w:div>
        <w:div w:id="1093817691">
          <w:marLeft w:val="0"/>
          <w:marRight w:val="0"/>
          <w:marTop w:val="0"/>
          <w:marBottom w:val="0"/>
          <w:divBdr>
            <w:top w:val="none" w:sz="0" w:space="0" w:color="auto"/>
            <w:left w:val="none" w:sz="0" w:space="0" w:color="auto"/>
            <w:bottom w:val="none" w:sz="0" w:space="0" w:color="auto"/>
            <w:right w:val="none" w:sz="0" w:space="0" w:color="auto"/>
          </w:divBdr>
        </w:div>
        <w:div w:id="1183325116">
          <w:marLeft w:val="0"/>
          <w:marRight w:val="0"/>
          <w:marTop w:val="0"/>
          <w:marBottom w:val="0"/>
          <w:divBdr>
            <w:top w:val="none" w:sz="0" w:space="0" w:color="auto"/>
            <w:left w:val="none" w:sz="0" w:space="0" w:color="auto"/>
            <w:bottom w:val="none" w:sz="0" w:space="0" w:color="auto"/>
            <w:right w:val="none" w:sz="0" w:space="0" w:color="auto"/>
          </w:divBdr>
        </w:div>
        <w:div w:id="1214972751">
          <w:marLeft w:val="0"/>
          <w:marRight w:val="0"/>
          <w:marTop w:val="0"/>
          <w:marBottom w:val="0"/>
          <w:divBdr>
            <w:top w:val="none" w:sz="0" w:space="0" w:color="auto"/>
            <w:left w:val="none" w:sz="0" w:space="0" w:color="auto"/>
            <w:bottom w:val="none" w:sz="0" w:space="0" w:color="auto"/>
            <w:right w:val="none" w:sz="0" w:space="0" w:color="auto"/>
          </w:divBdr>
        </w:div>
        <w:div w:id="1269200590">
          <w:marLeft w:val="0"/>
          <w:marRight w:val="0"/>
          <w:marTop w:val="0"/>
          <w:marBottom w:val="0"/>
          <w:divBdr>
            <w:top w:val="none" w:sz="0" w:space="0" w:color="auto"/>
            <w:left w:val="none" w:sz="0" w:space="0" w:color="auto"/>
            <w:bottom w:val="none" w:sz="0" w:space="0" w:color="auto"/>
            <w:right w:val="none" w:sz="0" w:space="0" w:color="auto"/>
          </w:divBdr>
        </w:div>
        <w:div w:id="1277366042">
          <w:marLeft w:val="0"/>
          <w:marRight w:val="0"/>
          <w:marTop w:val="0"/>
          <w:marBottom w:val="0"/>
          <w:divBdr>
            <w:top w:val="none" w:sz="0" w:space="0" w:color="auto"/>
            <w:left w:val="none" w:sz="0" w:space="0" w:color="auto"/>
            <w:bottom w:val="none" w:sz="0" w:space="0" w:color="auto"/>
            <w:right w:val="none" w:sz="0" w:space="0" w:color="auto"/>
          </w:divBdr>
        </w:div>
        <w:div w:id="1278220565">
          <w:marLeft w:val="0"/>
          <w:marRight w:val="0"/>
          <w:marTop w:val="0"/>
          <w:marBottom w:val="0"/>
          <w:divBdr>
            <w:top w:val="none" w:sz="0" w:space="0" w:color="auto"/>
            <w:left w:val="none" w:sz="0" w:space="0" w:color="auto"/>
            <w:bottom w:val="none" w:sz="0" w:space="0" w:color="auto"/>
            <w:right w:val="none" w:sz="0" w:space="0" w:color="auto"/>
          </w:divBdr>
        </w:div>
        <w:div w:id="1289580906">
          <w:marLeft w:val="0"/>
          <w:marRight w:val="0"/>
          <w:marTop w:val="0"/>
          <w:marBottom w:val="0"/>
          <w:divBdr>
            <w:top w:val="none" w:sz="0" w:space="0" w:color="auto"/>
            <w:left w:val="none" w:sz="0" w:space="0" w:color="auto"/>
            <w:bottom w:val="none" w:sz="0" w:space="0" w:color="auto"/>
            <w:right w:val="none" w:sz="0" w:space="0" w:color="auto"/>
          </w:divBdr>
        </w:div>
        <w:div w:id="1321887894">
          <w:marLeft w:val="0"/>
          <w:marRight w:val="0"/>
          <w:marTop w:val="0"/>
          <w:marBottom w:val="0"/>
          <w:divBdr>
            <w:top w:val="none" w:sz="0" w:space="0" w:color="auto"/>
            <w:left w:val="none" w:sz="0" w:space="0" w:color="auto"/>
            <w:bottom w:val="none" w:sz="0" w:space="0" w:color="auto"/>
            <w:right w:val="none" w:sz="0" w:space="0" w:color="auto"/>
          </w:divBdr>
        </w:div>
        <w:div w:id="1417092861">
          <w:marLeft w:val="0"/>
          <w:marRight w:val="0"/>
          <w:marTop w:val="0"/>
          <w:marBottom w:val="0"/>
          <w:divBdr>
            <w:top w:val="none" w:sz="0" w:space="0" w:color="auto"/>
            <w:left w:val="none" w:sz="0" w:space="0" w:color="auto"/>
            <w:bottom w:val="none" w:sz="0" w:space="0" w:color="auto"/>
            <w:right w:val="none" w:sz="0" w:space="0" w:color="auto"/>
          </w:divBdr>
        </w:div>
        <w:div w:id="1420172625">
          <w:marLeft w:val="0"/>
          <w:marRight w:val="0"/>
          <w:marTop w:val="0"/>
          <w:marBottom w:val="0"/>
          <w:divBdr>
            <w:top w:val="none" w:sz="0" w:space="0" w:color="auto"/>
            <w:left w:val="none" w:sz="0" w:space="0" w:color="auto"/>
            <w:bottom w:val="none" w:sz="0" w:space="0" w:color="auto"/>
            <w:right w:val="none" w:sz="0" w:space="0" w:color="auto"/>
          </w:divBdr>
        </w:div>
        <w:div w:id="1428237234">
          <w:marLeft w:val="0"/>
          <w:marRight w:val="0"/>
          <w:marTop w:val="0"/>
          <w:marBottom w:val="0"/>
          <w:divBdr>
            <w:top w:val="none" w:sz="0" w:space="0" w:color="auto"/>
            <w:left w:val="none" w:sz="0" w:space="0" w:color="auto"/>
            <w:bottom w:val="none" w:sz="0" w:space="0" w:color="auto"/>
            <w:right w:val="none" w:sz="0" w:space="0" w:color="auto"/>
          </w:divBdr>
        </w:div>
        <w:div w:id="1436167226">
          <w:marLeft w:val="0"/>
          <w:marRight w:val="0"/>
          <w:marTop w:val="0"/>
          <w:marBottom w:val="0"/>
          <w:divBdr>
            <w:top w:val="none" w:sz="0" w:space="0" w:color="auto"/>
            <w:left w:val="none" w:sz="0" w:space="0" w:color="auto"/>
            <w:bottom w:val="none" w:sz="0" w:space="0" w:color="auto"/>
            <w:right w:val="none" w:sz="0" w:space="0" w:color="auto"/>
          </w:divBdr>
        </w:div>
        <w:div w:id="1448625568">
          <w:marLeft w:val="0"/>
          <w:marRight w:val="0"/>
          <w:marTop w:val="0"/>
          <w:marBottom w:val="0"/>
          <w:divBdr>
            <w:top w:val="none" w:sz="0" w:space="0" w:color="auto"/>
            <w:left w:val="none" w:sz="0" w:space="0" w:color="auto"/>
            <w:bottom w:val="none" w:sz="0" w:space="0" w:color="auto"/>
            <w:right w:val="none" w:sz="0" w:space="0" w:color="auto"/>
          </w:divBdr>
        </w:div>
        <w:div w:id="1451437349">
          <w:marLeft w:val="0"/>
          <w:marRight w:val="0"/>
          <w:marTop w:val="0"/>
          <w:marBottom w:val="0"/>
          <w:divBdr>
            <w:top w:val="none" w:sz="0" w:space="0" w:color="auto"/>
            <w:left w:val="none" w:sz="0" w:space="0" w:color="auto"/>
            <w:bottom w:val="none" w:sz="0" w:space="0" w:color="auto"/>
            <w:right w:val="none" w:sz="0" w:space="0" w:color="auto"/>
          </w:divBdr>
        </w:div>
        <w:div w:id="1480263515">
          <w:marLeft w:val="0"/>
          <w:marRight w:val="0"/>
          <w:marTop w:val="0"/>
          <w:marBottom w:val="0"/>
          <w:divBdr>
            <w:top w:val="none" w:sz="0" w:space="0" w:color="auto"/>
            <w:left w:val="none" w:sz="0" w:space="0" w:color="auto"/>
            <w:bottom w:val="none" w:sz="0" w:space="0" w:color="auto"/>
            <w:right w:val="none" w:sz="0" w:space="0" w:color="auto"/>
          </w:divBdr>
        </w:div>
        <w:div w:id="1488475860">
          <w:marLeft w:val="0"/>
          <w:marRight w:val="0"/>
          <w:marTop w:val="0"/>
          <w:marBottom w:val="0"/>
          <w:divBdr>
            <w:top w:val="none" w:sz="0" w:space="0" w:color="auto"/>
            <w:left w:val="none" w:sz="0" w:space="0" w:color="auto"/>
            <w:bottom w:val="none" w:sz="0" w:space="0" w:color="auto"/>
            <w:right w:val="none" w:sz="0" w:space="0" w:color="auto"/>
          </w:divBdr>
        </w:div>
        <w:div w:id="1499492001">
          <w:marLeft w:val="0"/>
          <w:marRight w:val="0"/>
          <w:marTop w:val="0"/>
          <w:marBottom w:val="0"/>
          <w:divBdr>
            <w:top w:val="none" w:sz="0" w:space="0" w:color="auto"/>
            <w:left w:val="none" w:sz="0" w:space="0" w:color="auto"/>
            <w:bottom w:val="none" w:sz="0" w:space="0" w:color="auto"/>
            <w:right w:val="none" w:sz="0" w:space="0" w:color="auto"/>
          </w:divBdr>
        </w:div>
        <w:div w:id="1511867648">
          <w:marLeft w:val="0"/>
          <w:marRight w:val="0"/>
          <w:marTop w:val="0"/>
          <w:marBottom w:val="0"/>
          <w:divBdr>
            <w:top w:val="none" w:sz="0" w:space="0" w:color="auto"/>
            <w:left w:val="none" w:sz="0" w:space="0" w:color="auto"/>
            <w:bottom w:val="none" w:sz="0" w:space="0" w:color="auto"/>
            <w:right w:val="none" w:sz="0" w:space="0" w:color="auto"/>
          </w:divBdr>
        </w:div>
        <w:div w:id="1547568720">
          <w:marLeft w:val="0"/>
          <w:marRight w:val="0"/>
          <w:marTop w:val="0"/>
          <w:marBottom w:val="0"/>
          <w:divBdr>
            <w:top w:val="none" w:sz="0" w:space="0" w:color="auto"/>
            <w:left w:val="none" w:sz="0" w:space="0" w:color="auto"/>
            <w:bottom w:val="none" w:sz="0" w:space="0" w:color="auto"/>
            <w:right w:val="none" w:sz="0" w:space="0" w:color="auto"/>
          </w:divBdr>
        </w:div>
        <w:div w:id="1554150947">
          <w:marLeft w:val="0"/>
          <w:marRight w:val="0"/>
          <w:marTop w:val="0"/>
          <w:marBottom w:val="0"/>
          <w:divBdr>
            <w:top w:val="none" w:sz="0" w:space="0" w:color="auto"/>
            <w:left w:val="none" w:sz="0" w:space="0" w:color="auto"/>
            <w:bottom w:val="none" w:sz="0" w:space="0" w:color="auto"/>
            <w:right w:val="none" w:sz="0" w:space="0" w:color="auto"/>
          </w:divBdr>
        </w:div>
        <w:div w:id="1597833400">
          <w:marLeft w:val="0"/>
          <w:marRight w:val="0"/>
          <w:marTop w:val="0"/>
          <w:marBottom w:val="0"/>
          <w:divBdr>
            <w:top w:val="none" w:sz="0" w:space="0" w:color="auto"/>
            <w:left w:val="none" w:sz="0" w:space="0" w:color="auto"/>
            <w:bottom w:val="none" w:sz="0" w:space="0" w:color="auto"/>
            <w:right w:val="none" w:sz="0" w:space="0" w:color="auto"/>
          </w:divBdr>
        </w:div>
        <w:div w:id="1634210021">
          <w:marLeft w:val="0"/>
          <w:marRight w:val="0"/>
          <w:marTop w:val="0"/>
          <w:marBottom w:val="0"/>
          <w:divBdr>
            <w:top w:val="none" w:sz="0" w:space="0" w:color="auto"/>
            <w:left w:val="none" w:sz="0" w:space="0" w:color="auto"/>
            <w:bottom w:val="none" w:sz="0" w:space="0" w:color="auto"/>
            <w:right w:val="none" w:sz="0" w:space="0" w:color="auto"/>
          </w:divBdr>
        </w:div>
        <w:div w:id="1653675168">
          <w:marLeft w:val="0"/>
          <w:marRight w:val="0"/>
          <w:marTop w:val="0"/>
          <w:marBottom w:val="0"/>
          <w:divBdr>
            <w:top w:val="none" w:sz="0" w:space="0" w:color="auto"/>
            <w:left w:val="none" w:sz="0" w:space="0" w:color="auto"/>
            <w:bottom w:val="none" w:sz="0" w:space="0" w:color="auto"/>
            <w:right w:val="none" w:sz="0" w:space="0" w:color="auto"/>
          </w:divBdr>
        </w:div>
        <w:div w:id="1680884141">
          <w:marLeft w:val="0"/>
          <w:marRight w:val="0"/>
          <w:marTop w:val="0"/>
          <w:marBottom w:val="0"/>
          <w:divBdr>
            <w:top w:val="none" w:sz="0" w:space="0" w:color="auto"/>
            <w:left w:val="none" w:sz="0" w:space="0" w:color="auto"/>
            <w:bottom w:val="none" w:sz="0" w:space="0" w:color="auto"/>
            <w:right w:val="none" w:sz="0" w:space="0" w:color="auto"/>
          </w:divBdr>
        </w:div>
        <w:div w:id="1731880932">
          <w:marLeft w:val="0"/>
          <w:marRight w:val="0"/>
          <w:marTop w:val="0"/>
          <w:marBottom w:val="0"/>
          <w:divBdr>
            <w:top w:val="none" w:sz="0" w:space="0" w:color="auto"/>
            <w:left w:val="none" w:sz="0" w:space="0" w:color="auto"/>
            <w:bottom w:val="none" w:sz="0" w:space="0" w:color="auto"/>
            <w:right w:val="none" w:sz="0" w:space="0" w:color="auto"/>
          </w:divBdr>
        </w:div>
        <w:div w:id="1743259952">
          <w:marLeft w:val="0"/>
          <w:marRight w:val="0"/>
          <w:marTop w:val="0"/>
          <w:marBottom w:val="0"/>
          <w:divBdr>
            <w:top w:val="none" w:sz="0" w:space="0" w:color="auto"/>
            <w:left w:val="none" w:sz="0" w:space="0" w:color="auto"/>
            <w:bottom w:val="none" w:sz="0" w:space="0" w:color="auto"/>
            <w:right w:val="none" w:sz="0" w:space="0" w:color="auto"/>
          </w:divBdr>
        </w:div>
        <w:div w:id="1747529954">
          <w:marLeft w:val="0"/>
          <w:marRight w:val="0"/>
          <w:marTop w:val="0"/>
          <w:marBottom w:val="0"/>
          <w:divBdr>
            <w:top w:val="none" w:sz="0" w:space="0" w:color="auto"/>
            <w:left w:val="none" w:sz="0" w:space="0" w:color="auto"/>
            <w:bottom w:val="none" w:sz="0" w:space="0" w:color="auto"/>
            <w:right w:val="none" w:sz="0" w:space="0" w:color="auto"/>
          </w:divBdr>
        </w:div>
        <w:div w:id="1753233661">
          <w:marLeft w:val="0"/>
          <w:marRight w:val="0"/>
          <w:marTop w:val="0"/>
          <w:marBottom w:val="0"/>
          <w:divBdr>
            <w:top w:val="none" w:sz="0" w:space="0" w:color="auto"/>
            <w:left w:val="none" w:sz="0" w:space="0" w:color="auto"/>
            <w:bottom w:val="none" w:sz="0" w:space="0" w:color="auto"/>
            <w:right w:val="none" w:sz="0" w:space="0" w:color="auto"/>
          </w:divBdr>
        </w:div>
        <w:div w:id="1754088916">
          <w:marLeft w:val="0"/>
          <w:marRight w:val="0"/>
          <w:marTop w:val="0"/>
          <w:marBottom w:val="0"/>
          <w:divBdr>
            <w:top w:val="none" w:sz="0" w:space="0" w:color="auto"/>
            <w:left w:val="none" w:sz="0" w:space="0" w:color="auto"/>
            <w:bottom w:val="none" w:sz="0" w:space="0" w:color="auto"/>
            <w:right w:val="none" w:sz="0" w:space="0" w:color="auto"/>
          </w:divBdr>
        </w:div>
        <w:div w:id="1755122040">
          <w:marLeft w:val="0"/>
          <w:marRight w:val="0"/>
          <w:marTop w:val="0"/>
          <w:marBottom w:val="0"/>
          <w:divBdr>
            <w:top w:val="none" w:sz="0" w:space="0" w:color="auto"/>
            <w:left w:val="none" w:sz="0" w:space="0" w:color="auto"/>
            <w:bottom w:val="none" w:sz="0" w:space="0" w:color="auto"/>
            <w:right w:val="none" w:sz="0" w:space="0" w:color="auto"/>
          </w:divBdr>
        </w:div>
        <w:div w:id="1761412411">
          <w:marLeft w:val="0"/>
          <w:marRight w:val="0"/>
          <w:marTop w:val="0"/>
          <w:marBottom w:val="0"/>
          <w:divBdr>
            <w:top w:val="none" w:sz="0" w:space="0" w:color="auto"/>
            <w:left w:val="none" w:sz="0" w:space="0" w:color="auto"/>
            <w:bottom w:val="none" w:sz="0" w:space="0" w:color="auto"/>
            <w:right w:val="none" w:sz="0" w:space="0" w:color="auto"/>
          </w:divBdr>
        </w:div>
        <w:div w:id="1768382382">
          <w:marLeft w:val="0"/>
          <w:marRight w:val="0"/>
          <w:marTop w:val="0"/>
          <w:marBottom w:val="0"/>
          <w:divBdr>
            <w:top w:val="none" w:sz="0" w:space="0" w:color="auto"/>
            <w:left w:val="none" w:sz="0" w:space="0" w:color="auto"/>
            <w:bottom w:val="none" w:sz="0" w:space="0" w:color="auto"/>
            <w:right w:val="none" w:sz="0" w:space="0" w:color="auto"/>
          </w:divBdr>
        </w:div>
        <w:div w:id="1773745162">
          <w:marLeft w:val="0"/>
          <w:marRight w:val="0"/>
          <w:marTop w:val="0"/>
          <w:marBottom w:val="0"/>
          <w:divBdr>
            <w:top w:val="none" w:sz="0" w:space="0" w:color="auto"/>
            <w:left w:val="none" w:sz="0" w:space="0" w:color="auto"/>
            <w:bottom w:val="none" w:sz="0" w:space="0" w:color="auto"/>
            <w:right w:val="none" w:sz="0" w:space="0" w:color="auto"/>
          </w:divBdr>
        </w:div>
        <w:div w:id="1842429354">
          <w:marLeft w:val="0"/>
          <w:marRight w:val="0"/>
          <w:marTop w:val="0"/>
          <w:marBottom w:val="0"/>
          <w:divBdr>
            <w:top w:val="none" w:sz="0" w:space="0" w:color="auto"/>
            <w:left w:val="none" w:sz="0" w:space="0" w:color="auto"/>
            <w:bottom w:val="none" w:sz="0" w:space="0" w:color="auto"/>
            <w:right w:val="none" w:sz="0" w:space="0" w:color="auto"/>
          </w:divBdr>
        </w:div>
        <w:div w:id="1855918046">
          <w:marLeft w:val="0"/>
          <w:marRight w:val="0"/>
          <w:marTop w:val="0"/>
          <w:marBottom w:val="0"/>
          <w:divBdr>
            <w:top w:val="none" w:sz="0" w:space="0" w:color="auto"/>
            <w:left w:val="none" w:sz="0" w:space="0" w:color="auto"/>
            <w:bottom w:val="none" w:sz="0" w:space="0" w:color="auto"/>
            <w:right w:val="none" w:sz="0" w:space="0" w:color="auto"/>
          </w:divBdr>
        </w:div>
        <w:div w:id="1897935289">
          <w:marLeft w:val="0"/>
          <w:marRight w:val="0"/>
          <w:marTop w:val="0"/>
          <w:marBottom w:val="0"/>
          <w:divBdr>
            <w:top w:val="none" w:sz="0" w:space="0" w:color="auto"/>
            <w:left w:val="none" w:sz="0" w:space="0" w:color="auto"/>
            <w:bottom w:val="none" w:sz="0" w:space="0" w:color="auto"/>
            <w:right w:val="none" w:sz="0" w:space="0" w:color="auto"/>
          </w:divBdr>
        </w:div>
        <w:div w:id="1932738521">
          <w:marLeft w:val="0"/>
          <w:marRight w:val="0"/>
          <w:marTop w:val="0"/>
          <w:marBottom w:val="0"/>
          <w:divBdr>
            <w:top w:val="none" w:sz="0" w:space="0" w:color="auto"/>
            <w:left w:val="none" w:sz="0" w:space="0" w:color="auto"/>
            <w:bottom w:val="none" w:sz="0" w:space="0" w:color="auto"/>
            <w:right w:val="none" w:sz="0" w:space="0" w:color="auto"/>
          </w:divBdr>
        </w:div>
        <w:div w:id="2032536292">
          <w:marLeft w:val="0"/>
          <w:marRight w:val="0"/>
          <w:marTop w:val="0"/>
          <w:marBottom w:val="0"/>
          <w:divBdr>
            <w:top w:val="none" w:sz="0" w:space="0" w:color="auto"/>
            <w:left w:val="none" w:sz="0" w:space="0" w:color="auto"/>
            <w:bottom w:val="none" w:sz="0" w:space="0" w:color="auto"/>
            <w:right w:val="none" w:sz="0" w:space="0" w:color="auto"/>
          </w:divBdr>
        </w:div>
        <w:div w:id="2099057285">
          <w:marLeft w:val="0"/>
          <w:marRight w:val="0"/>
          <w:marTop w:val="0"/>
          <w:marBottom w:val="0"/>
          <w:divBdr>
            <w:top w:val="none" w:sz="0" w:space="0" w:color="auto"/>
            <w:left w:val="none" w:sz="0" w:space="0" w:color="auto"/>
            <w:bottom w:val="none" w:sz="0" w:space="0" w:color="auto"/>
            <w:right w:val="none" w:sz="0" w:space="0" w:color="auto"/>
          </w:divBdr>
        </w:div>
        <w:div w:id="2126148327">
          <w:marLeft w:val="0"/>
          <w:marRight w:val="0"/>
          <w:marTop w:val="0"/>
          <w:marBottom w:val="0"/>
          <w:divBdr>
            <w:top w:val="none" w:sz="0" w:space="0" w:color="auto"/>
            <w:left w:val="none" w:sz="0" w:space="0" w:color="auto"/>
            <w:bottom w:val="none" w:sz="0" w:space="0" w:color="auto"/>
            <w:right w:val="none" w:sz="0" w:space="0" w:color="auto"/>
          </w:divBdr>
        </w:div>
        <w:div w:id="2134515201">
          <w:marLeft w:val="0"/>
          <w:marRight w:val="0"/>
          <w:marTop w:val="0"/>
          <w:marBottom w:val="0"/>
          <w:divBdr>
            <w:top w:val="none" w:sz="0" w:space="0" w:color="auto"/>
            <w:left w:val="none" w:sz="0" w:space="0" w:color="auto"/>
            <w:bottom w:val="none" w:sz="0" w:space="0" w:color="auto"/>
            <w:right w:val="none" w:sz="0" w:space="0" w:color="auto"/>
          </w:divBdr>
        </w:div>
      </w:divsChild>
    </w:div>
    <w:div w:id="1801413033">
      <w:bodyDiv w:val="1"/>
      <w:marLeft w:val="0"/>
      <w:marRight w:val="0"/>
      <w:marTop w:val="0"/>
      <w:marBottom w:val="0"/>
      <w:divBdr>
        <w:top w:val="none" w:sz="0" w:space="0" w:color="auto"/>
        <w:left w:val="none" w:sz="0" w:space="0" w:color="auto"/>
        <w:bottom w:val="none" w:sz="0" w:space="0" w:color="auto"/>
        <w:right w:val="none" w:sz="0" w:space="0" w:color="auto"/>
      </w:divBdr>
      <w:divsChild>
        <w:div w:id="49227611">
          <w:marLeft w:val="0"/>
          <w:marRight w:val="0"/>
          <w:marTop w:val="0"/>
          <w:marBottom w:val="0"/>
          <w:divBdr>
            <w:top w:val="none" w:sz="0" w:space="0" w:color="auto"/>
            <w:left w:val="none" w:sz="0" w:space="0" w:color="auto"/>
            <w:bottom w:val="none" w:sz="0" w:space="0" w:color="auto"/>
            <w:right w:val="none" w:sz="0" w:space="0" w:color="auto"/>
          </w:divBdr>
        </w:div>
        <w:div w:id="69934984">
          <w:marLeft w:val="0"/>
          <w:marRight w:val="0"/>
          <w:marTop w:val="0"/>
          <w:marBottom w:val="0"/>
          <w:divBdr>
            <w:top w:val="none" w:sz="0" w:space="0" w:color="auto"/>
            <w:left w:val="none" w:sz="0" w:space="0" w:color="auto"/>
            <w:bottom w:val="none" w:sz="0" w:space="0" w:color="auto"/>
            <w:right w:val="none" w:sz="0" w:space="0" w:color="auto"/>
          </w:divBdr>
        </w:div>
        <w:div w:id="122357669">
          <w:marLeft w:val="0"/>
          <w:marRight w:val="0"/>
          <w:marTop w:val="0"/>
          <w:marBottom w:val="0"/>
          <w:divBdr>
            <w:top w:val="none" w:sz="0" w:space="0" w:color="auto"/>
            <w:left w:val="none" w:sz="0" w:space="0" w:color="auto"/>
            <w:bottom w:val="none" w:sz="0" w:space="0" w:color="auto"/>
            <w:right w:val="none" w:sz="0" w:space="0" w:color="auto"/>
          </w:divBdr>
        </w:div>
        <w:div w:id="184025183">
          <w:marLeft w:val="0"/>
          <w:marRight w:val="0"/>
          <w:marTop w:val="0"/>
          <w:marBottom w:val="0"/>
          <w:divBdr>
            <w:top w:val="none" w:sz="0" w:space="0" w:color="auto"/>
            <w:left w:val="none" w:sz="0" w:space="0" w:color="auto"/>
            <w:bottom w:val="none" w:sz="0" w:space="0" w:color="auto"/>
            <w:right w:val="none" w:sz="0" w:space="0" w:color="auto"/>
          </w:divBdr>
        </w:div>
        <w:div w:id="218517249">
          <w:marLeft w:val="0"/>
          <w:marRight w:val="0"/>
          <w:marTop w:val="0"/>
          <w:marBottom w:val="0"/>
          <w:divBdr>
            <w:top w:val="none" w:sz="0" w:space="0" w:color="auto"/>
            <w:left w:val="none" w:sz="0" w:space="0" w:color="auto"/>
            <w:bottom w:val="none" w:sz="0" w:space="0" w:color="auto"/>
            <w:right w:val="none" w:sz="0" w:space="0" w:color="auto"/>
          </w:divBdr>
        </w:div>
        <w:div w:id="232853675">
          <w:marLeft w:val="0"/>
          <w:marRight w:val="0"/>
          <w:marTop w:val="0"/>
          <w:marBottom w:val="0"/>
          <w:divBdr>
            <w:top w:val="none" w:sz="0" w:space="0" w:color="auto"/>
            <w:left w:val="none" w:sz="0" w:space="0" w:color="auto"/>
            <w:bottom w:val="none" w:sz="0" w:space="0" w:color="auto"/>
            <w:right w:val="none" w:sz="0" w:space="0" w:color="auto"/>
          </w:divBdr>
        </w:div>
        <w:div w:id="275647400">
          <w:marLeft w:val="0"/>
          <w:marRight w:val="0"/>
          <w:marTop w:val="0"/>
          <w:marBottom w:val="0"/>
          <w:divBdr>
            <w:top w:val="none" w:sz="0" w:space="0" w:color="auto"/>
            <w:left w:val="none" w:sz="0" w:space="0" w:color="auto"/>
            <w:bottom w:val="none" w:sz="0" w:space="0" w:color="auto"/>
            <w:right w:val="none" w:sz="0" w:space="0" w:color="auto"/>
          </w:divBdr>
        </w:div>
        <w:div w:id="328949591">
          <w:marLeft w:val="0"/>
          <w:marRight w:val="0"/>
          <w:marTop w:val="0"/>
          <w:marBottom w:val="0"/>
          <w:divBdr>
            <w:top w:val="none" w:sz="0" w:space="0" w:color="auto"/>
            <w:left w:val="none" w:sz="0" w:space="0" w:color="auto"/>
            <w:bottom w:val="none" w:sz="0" w:space="0" w:color="auto"/>
            <w:right w:val="none" w:sz="0" w:space="0" w:color="auto"/>
          </w:divBdr>
        </w:div>
        <w:div w:id="331296062">
          <w:marLeft w:val="0"/>
          <w:marRight w:val="0"/>
          <w:marTop w:val="0"/>
          <w:marBottom w:val="0"/>
          <w:divBdr>
            <w:top w:val="none" w:sz="0" w:space="0" w:color="auto"/>
            <w:left w:val="none" w:sz="0" w:space="0" w:color="auto"/>
            <w:bottom w:val="none" w:sz="0" w:space="0" w:color="auto"/>
            <w:right w:val="none" w:sz="0" w:space="0" w:color="auto"/>
          </w:divBdr>
        </w:div>
        <w:div w:id="367073630">
          <w:marLeft w:val="0"/>
          <w:marRight w:val="0"/>
          <w:marTop w:val="0"/>
          <w:marBottom w:val="0"/>
          <w:divBdr>
            <w:top w:val="none" w:sz="0" w:space="0" w:color="auto"/>
            <w:left w:val="none" w:sz="0" w:space="0" w:color="auto"/>
            <w:bottom w:val="none" w:sz="0" w:space="0" w:color="auto"/>
            <w:right w:val="none" w:sz="0" w:space="0" w:color="auto"/>
          </w:divBdr>
        </w:div>
        <w:div w:id="385181481">
          <w:marLeft w:val="0"/>
          <w:marRight w:val="0"/>
          <w:marTop w:val="0"/>
          <w:marBottom w:val="0"/>
          <w:divBdr>
            <w:top w:val="none" w:sz="0" w:space="0" w:color="auto"/>
            <w:left w:val="none" w:sz="0" w:space="0" w:color="auto"/>
            <w:bottom w:val="none" w:sz="0" w:space="0" w:color="auto"/>
            <w:right w:val="none" w:sz="0" w:space="0" w:color="auto"/>
          </w:divBdr>
        </w:div>
        <w:div w:id="387263715">
          <w:marLeft w:val="0"/>
          <w:marRight w:val="0"/>
          <w:marTop w:val="0"/>
          <w:marBottom w:val="0"/>
          <w:divBdr>
            <w:top w:val="none" w:sz="0" w:space="0" w:color="auto"/>
            <w:left w:val="none" w:sz="0" w:space="0" w:color="auto"/>
            <w:bottom w:val="none" w:sz="0" w:space="0" w:color="auto"/>
            <w:right w:val="none" w:sz="0" w:space="0" w:color="auto"/>
          </w:divBdr>
        </w:div>
        <w:div w:id="422992319">
          <w:marLeft w:val="0"/>
          <w:marRight w:val="0"/>
          <w:marTop w:val="0"/>
          <w:marBottom w:val="0"/>
          <w:divBdr>
            <w:top w:val="none" w:sz="0" w:space="0" w:color="auto"/>
            <w:left w:val="none" w:sz="0" w:space="0" w:color="auto"/>
            <w:bottom w:val="none" w:sz="0" w:space="0" w:color="auto"/>
            <w:right w:val="none" w:sz="0" w:space="0" w:color="auto"/>
          </w:divBdr>
        </w:div>
        <w:div w:id="455757642">
          <w:marLeft w:val="0"/>
          <w:marRight w:val="0"/>
          <w:marTop w:val="0"/>
          <w:marBottom w:val="0"/>
          <w:divBdr>
            <w:top w:val="none" w:sz="0" w:space="0" w:color="auto"/>
            <w:left w:val="none" w:sz="0" w:space="0" w:color="auto"/>
            <w:bottom w:val="none" w:sz="0" w:space="0" w:color="auto"/>
            <w:right w:val="none" w:sz="0" w:space="0" w:color="auto"/>
          </w:divBdr>
        </w:div>
        <w:div w:id="480854314">
          <w:marLeft w:val="0"/>
          <w:marRight w:val="0"/>
          <w:marTop w:val="0"/>
          <w:marBottom w:val="0"/>
          <w:divBdr>
            <w:top w:val="none" w:sz="0" w:space="0" w:color="auto"/>
            <w:left w:val="none" w:sz="0" w:space="0" w:color="auto"/>
            <w:bottom w:val="none" w:sz="0" w:space="0" w:color="auto"/>
            <w:right w:val="none" w:sz="0" w:space="0" w:color="auto"/>
          </w:divBdr>
        </w:div>
        <w:div w:id="485169138">
          <w:marLeft w:val="0"/>
          <w:marRight w:val="0"/>
          <w:marTop w:val="0"/>
          <w:marBottom w:val="0"/>
          <w:divBdr>
            <w:top w:val="none" w:sz="0" w:space="0" w:color="auto"/>
            <w:left w:val="none" w:sz="0" w:space="0" w:color="auto"/>
            <w:bottom w:val="none" w:sz="0" w:space="0" w:color="auto"/>
            <w:right w:val="none" w:sz="0" w:space="0" w:color="auto"/>
          </w:divBdr>
        </w:div>
        <w:div w:id="560991403">
          <w:marLeft w:val="0"/>
          <w:marRight w:val="0"/>
          <w:marTop w:val="0"/>
          <w:marBottom w:val="0"/>
          <w:divBdr>
            <w:top w:val="none" w:sz="0" w:space="0" w:color="auto"/>
            <w:left w:val="none" w:sz="0" w:space="0" w:color="auto"/>
            <w:bottom w:val="none" w:sz="0" w:space="0" w:color="auto"/>
            <w:right w:val="none" w:sz="0" w:space="0" w:color="auto"/>
          </w:divBdr>
        </w:div>
        <w:div w:id="581791069">
          <w:marLeft w:val="0"/>
          <w:marRight w:val="0"/>
          <w:marTop w:val="0"/>
          <w:marBottom w:val="0"/>
          <w:divBdr>
            <w:top w:val="none" w:sz="0" w:space="0" w:color="auto"/>
            <w:left w:val="none" w:sz="0" w:space="0" w:color="auto"/>
            <w:bottom w:val="none" w:sz="0" w:space="0" w:color="auto"/>
            <w:right w:val="none" w:sz="0" w:space="0" w:color="auto"/>
          </w:divBdr>
        </w:div>
        <w:div w:id="606959825">
          <w:marLeft w:val="0"/>
          <w:marRight w:val="0"/>
          <w:marTop w:val="0"/>
          <w:marBottom w:val="0"/>
          <w:divBdr>
            <w:top w:val="none" w:sz="0" w:space="0" w:color="auto"/>
            <w:left w:val="none" w:sz="0" w:space="0" w:color="auto"/>
            <w:bottom w:val="none" w:sz="0" w:space="0" w:color="auto"/>
            <w:right w:val="none" w:sz="0" w:space="0" w:color="auto"/>
          </w:divBdr>
        </w:div>
        <w:div w:id="614799177">
          <w:marLeft w:val="0"/>
          <w:marRight w:val="0"/>
          <w:marTop w:val="0"/>
          <w:marBottom w:val="0"/>
          <w:divBdr>
            <w:top w:val="none" w:sz="0" w:space="0" w:color="auto"/>
            <w:left w:val="none" w:sz="0" w:space="0" w:color="auto"/>
            <w:bottom w:val="none" w:sz="0" w:space="0" w:color="auto"/>
            <w:right w:val="none" w:sz="0" w:space="0" w:color="auto"/>
          </w:divBdr>
        </w:div>
        <w:div w:id="641235961">
          <w:marLeft w:val="0"/>
          <w:marRight w:val="0"/>
          <w:marTop w:val="0"/>
          <w:marBottom w:val="0"/>
          <w:divBdr>
            <w:top w:val="none" w:sz="0" w:space="0" w:color="auto"/>
            <w:left w:val="none" w:sz="0" w:space="0" w:color="auto"/>
            <w:bottom w:val="none" w:sz="0" w:space="0" w:color="auto"/>
            <w:right w:val="none" w:sz="0" w:space="0" w:color="auto"/>
          </w:divBdr>
        </w:div>
        <w:div w:id="675888741">
          <w:marLeft w:val="0"/>
          <w:marRight w:val="0"/>
          <w:marTop w:val="0"/>
          <w:marBottom w:val="0"/>
          <w:divBdr>
            <w:top w:val="none" w:sz="0" w:space="0" w:color="auto"/>
            <w:left w:val="none" w:sz="0" w:space="0" w:color="auto"/>
            <w:bottom w:val="none" w:sz="0" w:space="0" w:color="auto"/>
            <w:right w:val="none" w:sz="0" w:space="0" w:color="auto"/>
          </w:divBdr>
        </w:div>
        <w:div w:id="690569864">
          <w:marLeft w:val="0"/>
          <w:marRight w:val="0"/>
          <w:marTop w:val="0"/>
          <w:marBottom w:val="0"/>
          <w:divBdr>
            <w:top w:val="none" w:sz="0" w:space="0" w:color="auto"/>
            <w:left w:val="none" w:sz="0" w:space="0" w:color="auto"/>
            <w:bottom w:val="none" w:sz="0" w:space="0" w:color="auto"/>
            <w:right w:val="none" w:sz="0" w:space="0" w:color="auto"/>
          </w:divBdr>
        </w:div>
        <w:div w:id="692196641">
          <w:marLeft w:val="0"/>
          <w:marRight w:val="0"/>
          <w:marTop w:val="0"/>
          <w:marBottom w:val="0"/>
          <w:divBdr>
            <w:top w:val="none" w:sz="0" w:space="0" w:color="auto"/>
            <w:left w:val="none" w:sz="0" w:space="0" w:color="auto"/>
            <w:bottom w:val="none" w:sz="0" w:space="0" w:color="auto"/>
            <w:right w:val="none" w:sz="0" w:space="0" w:color="auto"/>
          </w:divBdr>
        </w:div>
        <w:div w:id="696085237">
          <w:marLeft w:val="0"/>
          <w:marRight w:val="0"/>
          <w:marTop w:val="0"/>
          <w:marBottom w:val="0"/>
          <w:divBdr>
            <w:top w:val="none" w:sz="0" w:space="0" w:color="auto"/>
            <w:left w:val="none" w:sz="0" w:space="0" w:color="auto"/>
            <w:bottom w:val="none" w:sz="0" w:space="0" w:color="auto"/>
            <w:right w:val="none" w:sz="0" w:space="0" w:color="auto"/>
          </w:divBdr>
        </w:div>
        <w:div w:id="699284354">
          <w:marLeft w:val="0"/>
          <w:marRight w:val="0"/>
          <w:marTop w:val="0"/>
          <w:marBottom w:val="0"/>
          <w:divBdr>
            <w:top w:val="none" w:sz="0" w:space="0" w:color="auto"/>
            <w:left w:val="none" w:sz="0" w:space="0" w:color="auto"/>
            <w:bottom w:val="none" w:sz="0" w:space="0" w:color="auto"/>
            <w:right w:val="none" w:sz="0" w:space="0" w:color="auto"/>
          </w:divBdr>
        </w:div>
        <w:div w:id="702949971">
          <w:marLeft w:val="0"/>
          <w:marRight w:val="0"/>
          <w:marTop w:val="0"/>
          <w:marBottom w:val="0"/>
          <w:divBdr>
            <w:top w:val="none" w:sz="0" w:space="0" w:color="auto"/>
            <w:left w:val="none" w:sz="0" w:space="0" w:color="auto"/>
            <w:bottom w:val="none" w:sz="0" w:space="0" w:color="auto"/>
            <w:right w:val="none" w:sz="0" w:space="0" w:color="auto"/>
          </w:divBdr>
        </w:div>
        <w:div w:id="713119722">
          <w:marLeft w:val="0"/>
          <w:marRight w:val="0"/>
          <w:marTop w:val="0"/>
          <w:marBottom w:val="0"/>
          <w:divBdr>
            <w:top w:val="none" w:sz="0" w:space="0" w:color="auto"/>
            <w:left w:val="none" w:sz="0" w:space="0" w:color="auto"/>
            <w:bottom w:val="none" w:sz="0" w:space="0" w:color="auto"/>
            <w:right w:val="none" w:sz="0" w:space="0" w:color="auto"/>
          </w:divBdr>
        </w:div>
        <w:div w:id="731931254">
          <w:marLeft w:val="0"/>
          <w:marRight w:val="0"/>
          <w:marTop w:val="0"/>
          <w:marBottom w:val="0"/>
          <w:divBdr>
            <w:top w:val="none" w:sz="0" w:space="0" w:color="auto"/>
            <w:left w:val="none" w:sz="0" w:space="0" w:color="auto"/>
            <w:bottom w:val="none" w:sz="0" w:space="0" w:color="auto"/>
            <w:right w:val="none" w:sz="0" w:space="0" w:color="auto"/>
          </w:divBdr>
        </w:div>
        <w:div w:id="771824208">
          <w:marLeft w:val="0"/>
          <w:marRight w:val="0"/>
          <w:marTop w:val="0"/>
          <w:marBottom w:val="0"/>
          <w:divBdr>
            <w:top w:val="none" w:sz="0" w:space="0" w:color="auto"/>
            <w:left w:val="none" w:sz="0" w:space="0" w:color="auto"/>
            <w:bottom w:val="none" w:sz="0" w:space="0" w:color="auto"/>
            <w:right w:val="none" w:sz="0" w:space="0" w:color="auto"/>
          </w:divBdr>
        </w:div>
        <w:div w:id="776146651">
          <w:marLeft w:val="0"/>
          <w:marRight w:val="0"/>
          <w:marTop w:val="0"/>
          <w:marBottom w:val="0"/>
          <w:divBdr>
            <w:top w:val="none" w:sz="0" w:space="0" w:color="auto"/>
            <w:left w:val="none" w:sz="0" w:space="0" w:color="auto"/>
            <w:bottom w:val="none" w:sz="0" w:space="0" w:color="auto"/>
            <w:right w:val="none" w:sz="0" w:space="0" w:color="auto"/>
          </w:divBdr>
        </w:div>
        <w:div w:id="846601479">
          <w:marLeft w:val="0"/>
          <w:marRight w:val="0"/>
          <w:marTop w:val="0"/>
          <w:marBottom w:val="0"/>
          <w:divBdr>
            <w:top w:val="none" w:sz="0" w:space="0" w:color="auto"/>
            <w:left w:val="none" w:sz="0" w:space="0" w:color="auto"/>
            <w:bottom w:val="none" w:sz="0" w:space="0" w:color="auto"/>
            <w:right w:val="none" w:sz="0" w:space="0" w:color="auto"/>
          </w:divBdr>
        </w:div>
        <w:div w:id="851652615">
          <w:marLeft w:val="0"/>
          <w:marRight w:val="0"/>
          <w:marTop w:val="0"/>
          <w:marBottom w:val="0"/>
          <w:divBdr>
            <w:top w:val="none" w:sz="0" w:space="0" w:color="auto"/>
            <w:left w:val="none" w:sz="0" w:space="0" w:color="auto"/>
            <w:bottom w:val="none" w:sz="0" w:space="0" w:color="auto"/>
            <w:right w:val="none" w:sz="0" w:space="0" w:color="auto"/>
          </w:divBdr>
        </w:div>
        <w:div w:id="955713550">
          <w:marLeft w:val="0"/>
          <w:marRight w:val="0"/>
          <w:marTop w:val="0"/>
          <w:marBottom w:val="0"/>
          <w:divBdr>
            <w:top w:val="none" w:sz="0" w:space="0" w:color="auto"/>
            <w:left w:val="none" w:sz="0" w:space="0" w:color="auto"/>
            <w:bottom w:val="none" w:sz="0" w:space="0" w:color="auto"/>
            <w:right w:val="none" w:sz="0" w:space="0" w:color="auto"/>
          </w:divBdr>
        </w:div>
        <w:div w:id="965309042">
          <w:marLeft w:val="0"/>
          <w:marRight w:val="0"/>
          <w:marTop w:val="0"/>
          <w:marBottom w:val="0"/>
          <w:divBdr>
            <w:top w:val="none" w:sz="0" w:space="0" w:color="auto"/>
            <w:left w:val="none" w:sz="0" w:space="0" w:color="auto"/>
            <w:bottom w:val="none" w:sz="0" w:space="0" w:color="auto"/>
            <w:right w:val="none" w:sz="0" w:space="0" w:color="auto"/>
          </w:divBdr>
        </w:div>
        <w:div w:id="1000694840">
          <w:marLeft w:val="0"/>
          <w:marRight w:val="0"/>
          <w:marTop w:val="0"/>
          <w:marBottom w:val="0"/>
          <w:divBdr>
            <w:top w:val="none" w:sz="0" w:space="0" w:color="auto"/>
            <w:left w:val="none" w:sz="0" w:space="0" w:color="auto"/>
            <w:bottom w:val="none" w:sz="0" w:space="0" w:color="auto"/>
            <w:right w:val="none" w:sz="0" w:space="0" w:color="auto"/>
          </w:divBdr>
        </w:div>
        <w:div w:id="1025400196">
          <w:marLeft w:val="0"/>
          <w:marRight w:val="0"/>
          <w:marTop w:val="0"/>
          <w:marBottom w:val="0"/>
          <w:divBdr>
            <w:top w:val="none" w:sz="0" w:space="0" w:color="auto"/>
            <w:left w:val="none" w:sz="0" w:space="0" w:color="auto"/>
            <w:bottom w:val="none" w:sz="0" w:space="0" w:color="auto"/>
            <w:right w:val="none" w:sz="0" w:space="0" w:color="auto"/>
          </w:divBdr>
        </w:div>
        <w:div w:id="1050957798">
          <w:marLeft w:val="0"/>
          <w:marRight w:val="0"/>
          <w:marTop w:val="0"/>
          <w:marBottom w:val="0"/>
          <w:divBdr>
            <w:top w:val="none" w:sz="0" w:space="0" w:color="auto"/>
            <w:left w:val="none" w:sz="0" w:space="0" w:color="auto"/>
            <w:bottom w:val="none" w:sz="0" w:space="0" w:color="auto"/>
            <w:right w:val="none" w:sz="0" w:space="0" w:color="auto"/>
          </w:divBdr>
        </w:div>
        <w:div w:id="1059093227">
          <w:marLeft w:val="0"/>
          <w:marRight w:val="0"/>
          <w:marTop w:val="0"/>
          <w:marBottom w:val="0"/>
          <w:divBdr>
            <w:top w:val="none" w:sz="0" w:space="0" w:color="auto"/>
            <w:left w:val="none" w:sz="0" w:space="0" w:color="auto"/>
            <w:bottom w:val="none" w:sz="0" w:space="0" w:color="auto"/>
            <w:right w:val="none" w:sz="0" w:space="0" w:color="auto"/>
          </w:divBdr>
        </w:div>
        <w:div w:id="1074158549">
          <w:marLeft w:val="0"/>
          <w:marRight w:val="0"/>
          <w:marTop w:val="0"/>
          <w:marBottom w:val="0"/>
          <w:divBdr>
            <w:top w:val="none" w:sz="0" w:space="0" w:color="auto"/>
            <w:left w:val="none" w:sz="0" w:space="0" w:color="auto"/>
            <w:bottom w:val="none" w:sz="0" w:space="0" w:color="auto"/>
            <w:right w:val="none" w:sz="0" w:space="0" w:color="auto"/>
          </w:divBdr>
        </w:div>
        <w:div w:id="1077477387">
          <w:marLeft w:val="0"/>
          <w:marRight w:val="0"/>
          <w:marTop w:val="0"/>
          <w:marBottom w:val="0"/>
          <w:divBdr>
            <w:top w:val="none" w:sz="0" w:space="0" w:color="auto"/>
            <w:left w:val="none" w:sz="0" w:space="0" w:color="auto"/>
            <w:bottom w:val="none" w:sz="0" w:space="0" w:color="auto"/>
            <w:right w:val="none" w:sz="0" w:space="0" w:color="auto"/>
          </w:divBdr>
        </w:div>
        <w:div w:id="1085341834">
          <w:marLeft w:val="0"/>
          <w:marRight w:val="0"/>
          <w:marTop w:val="0"/>
          <w:marBottom w:val="0"/>
          <w:divBdr>
            <w:top w:val="none" w:sz="0" w:space="0" w:color="auto"/>
            <w:left w:val="none" w:sz="0" w:space="0" w:color="auto"/>
            <w:bottom w:val="none" w:sz="0" w:space="0" w:color="auto"/>
            <w:right w:val="none" w:sz="0" w:space="0" w:color="auto"/>
          </w:divBdr>
        </w:div>
        <w:div w:id="1142693676">
          <w:marLeft w:val="0"/>
          <w:marRight w:val="0"/>
          <w:marTop w:val="0"/>
          <w:marBottom w:val="0"/>
          <w:divBdr>
            <w:top w:val="none" w:sz="0" w:space="0" w:color="auto"/>
            <w:left w:val="none" w:sz="0" w:space="0" w:color="auto"/>
            <w:bottom w:val="none" w:sz="0" w:space="0" w:color="auto"/>
            <w:right w:val="none" w:sz="0" w:space="0" w:color="auto"/>
          </w:divBdr>
        </w:div>
        <w:div w:id="1153065616">
          <w:marLeft w:val="0"/>
          <w:marRight w:val="0"/>
          <w:marTop w:val="0"/>
          <w:marBottom w:val="0"/>
          <w:divBdr>
            <w:top w:val="none" w:sz="0" w:space="0" w:color="auto"/>
            <w:left w:val="none" w:sz="0" w:space="0" w:color="auto"/>
            <w:bottom w:val="none" w:sz="0" w:space="0" w:color="auto"/>
            <w:right w:val="none" w:sz="0" w:space="0" w:color="auto"/>
          </w:divBdr>
        </w:div>
        <w:div w:id="1160384090">
          <w:marLeft w:val="0"/>
          <w:marRight w:val="0"/>
          <w:marTop w:val="0"/>
          <w:marBottom w:val="0"/>
          <w:divBdr>
            <w:top w:val="none" w:sz="0" w:space="0" w:color="auto"/>
            <w:left w:val="none" w:sz="0" w:space="0" w:color="auto"/>
            <w:bottom w:val="none" w:sz="0" w:space="0" w:color="auto"/>
            <w:right w:val="none" w:sz="0" w:space="0" w:color="auto"/>
          </w:divBdr>
        </w:div>
        <w:div w:id="1190342130">
          <w:marLeft w:val="0"/>
          <w:marRight w:val="0"/>
          <w:marTop w:val="0"/>
          <w:marBottom w:val="0"/>
          <w:divBdr>
            <w:top w:val="none" w:sz="0" w:space="0" w:color="auto"/>
            <w:left w:val="none" w:sz="0" w:space="0" w:color="auto"/>
            <w:bottom w:val="none" w:sz="0" w:space="0" w:color="auto"/>
            <w:right w:val="none" w:sz="0" w:space="0" w:color="auto"/>
          </w:divBdr>
        </w:div>
        <w:div w:id="1193881376">
          <w:marLeft w:val="0"/>
          <w:marRight w:val="0"/>
          <w:marTop w:val="0"/>
          <w:marBottom w:val="0"/>
          <w:divBdr>
            <w:top w:val="none" w:sz="0" w:space="0" w:color="auto"/>
            <w:left w:val="none" w:sz="0" w:space="0" w:color="auto"/>
            <w:bottom w:val="none" w:sz="0" w:space="0" w:color="auto"/>
            <w:right w:val="none" w:sz="0" w:space="0" w:color="auto"/>
          </w:divBdr>
        </w:div>
        <w:div w:id="1296792503">
          <w:marLeft w:val="0"/>
          <w:marRight w:val="0"/>
          <w:marTop w:val="0"/>
          <w:marBottom w:val="0"/>
          <w:divBdr>
            <w:top w:val="none" w:sz="0" w:space="0" w:color="auto"/>
            <w:left w:val="none" w:sz="0" w:space="0" w:color="auto"/>
            <w:bottom w:val="none" w:sz="0" w:space="0" w:color="auto"/>
            <w:right w:val="none" w:sz="0" w:space="0" w:color="auto"/>
          </w:divBdr>
        </w:div>
        <w:div w:id="1332753316">
          <w:marLeft w:val="0"/>
          <w:marRight w:val="0"/>
          <w:marTop w:val="0"/>
          <w:marBottom w:val="0"/>
          <w:divBdr>
            <w:top w:val="none" w:sz="0" w:space="0" w:color="auto"/>
            <w:left w:val="none" w:sz="0" w:space="0" w:color="auto"/>
            <w:bottom w:val="none" w:sz="0" w:space="0" w:color="auto"/>
            <w:right w:val="none" w:sz="0" w:space="0" w:color="auto"/>
          </w:divBdr>
        </w:div>
        <w:div w:id="1369799626">
          <w:marLeft w:val="0"/>
          <w:marRight w:val="0"/>
          <w:marTop w:val="0"/>
          <w:marBottom w:val="0"/>
          <w:divBdr>
            <w:top w:val="none" w:sz="0" w:space="0" w:color="auto"/>
            <w:left w:val="none" w:sz="0" w:space="0" w:color="auto"/>
            <w:bottom w:val="none" w:sz="0" w:space="0" w:color="auto"/>
            <w:right w:val="none" w:sz="0" w:space="0" w:color="auto"/>
          </w:divBdr>
        </w:div>
        <w:div w:id="1425611778">
          <w:marLeft w:val="0"/>
          <w:marRight w:val="0"/>
          <w:marTop w:val="0"/>
          <w:marBottom w:val="0"/>
          <w:divBdr>
            <w:top w:val="none" w:sz="0" w:space="0" w:color="auto"/>
            <w:left w:val="none" w:sz="0" w:space="0" w:color="auto"/>
            <w:bottom w:val="none" w:sz="0" w:space="0" w:color="auto"/>
            <w:right w:val="none" w:sz="0" w:space="0" w:color="auto"/>
          </w:divBdr>
        </w:div>
        <w:div w:id="1442263371">
          <w:marLeft w:val="0"/>
          <w:marRight w:val="0"/>
          <w:marTop w:val="0"/>
          <w:marBottom w:val="0"/>
          <w:divBdr>
            <w:top w:val="none" w:sz="0" w:space="0" w:color="auto"/>
            <w:left w:val="none" w:sz="0" w:space="0" w:color="auto"/>
            <w:bottom w:val="none" w:sz="0" w:space="0" w:color="auto"/>
            <w:right w:val="none" w:sz="0" w:space="0" w:color="auto"/>
          </w:divBdr>
        </w:div>
        <w:div w:id="1456826563">
          <w:marLeft w:val="0"/>
          <w:marRight w:val="0"/>
          <w:marTop w:val="0"/>
          <w:marBottom w:val="0"/>
          <w:divBdr>
            <w:top w:val="none" w:sz="0" w:space="0" w:color="auto"/>
            <w:left w:val="none" w:sz="0" w:space="0" w:color="auto"/>
            <w:bottom w:val="none" w:sz="0" w:space="0" w:color="auto"/>
            <w:right w:val="none" w:sz="0" w:space="0" w:color="auto"/>
          </w:divBdr>
        </w:div>
        <w:div w:id="1473668885">
          <w:marLeft w:val="0"/>
          <w:marRight w:val="0"/>
          <w:marTop w:val="0"/>
          <w:marBottom w:val="0"/>
          <w:divBdr>
            <w:top w:val="none" w:sz="0" w:space="0" w:color="auto"/>
            <w:left w:val="none" w:sz="0" w:space="0" w:color="auto"/>
            <w:bottom w:val="none" w:sz="0" w:space="0" w:color="auto"/>
            <w:right w:val="none" w:sz="0" w:space="0" w:color="auto"/>
          </w:divBdr>
        </w:div>
        <w:div w:id="1515998872">
          <w:marLeft w:val="0"/>
          <w:marRight w:val="0"/>
          <w:marTop w:val="0"/>
          <w:marBottom w:val="0"/>
          <w:divBdr>
            <w:top w:val="none" w:sz="0" w:space="0" w:color="auto"/>
            <w:left w:val="none" w:sz="0" w:space="0" w:color="auto"/>
            <w:bottom w:val="none" w:sz="0" w:space="0" w:color="auto"/>
            <w:right w:val="none" w:sz="0" w:space="0" w:color="auto"/>
          </w:divBdr>
        </w:div>
        <w:div w:id="1624072492">
          <w:marLeft w:val="0"/>
          <w:marRight w:val="0"/>
          <w:marTop w:val="0"/>
          <w:marBottom w:val="0"/>
          <w:divBdr>
            <w:top w:val="none" w:sz="0" w:space="0" w:color="auto"/>
            <w:left w:val="none" w:sz="0" w:space="0" w:color="auto"/>
            <w:bottom w:val="none" w:sz="0" w:space="0" w:color="auto"/>
            <w:right w:val="none" w:sz="0" w:space="0" w:color="auto"/>
          </w:divBdr>
        </w:div>
        <w:div w:id="1652248697">
          <w:marLeft w:val="0"/>
          <w:marRight w:val="0"/>
          <w:marTop w:val="0"/>
          <w:marBottom w:val="0"/>
          <w:divBdr>
            <w:top w:val="none" w:sz="0" w:space="0" w:color="auto"/>
            <w:left w:val="none" w:sz="0" w:space="0" w:color="auto"/>
            <w:bottom w:val="none" w:sz="0" w:space="0" w:color="auto"/>
            <w:right w:val="none" w:sz="0" w:space="0" w:color="auto"/>
          </w:divBdr>
        </w:div>
        <w:div w:id="1680346888">
          <w:marLeft w:val="0"/>
          <w:marRight w:val="0"/>
          <w:marTop w:val="0"/>
          <w:marBottom w:val="0"/>
          <w:divBdr>
            <w:top w:val="none" w:sz="0" w:space="0" w:color="auto"/>
            <w:left w:val="none" w:sz="0" w:space="0" w:color="auto"/>
            <w:bottom w:val="none" w:sz="0" w:space="0" w:color="auto"/>
            <w:right w:val="none" w:sz="0" w:space="0" w:color="auto"/>
          </w:divBdr>
        </w:div>
        <w:div w:id="1713770753">
          <w:marLeft w:val="0"/>
          <w:marRight w:val="0"/>
          <w:marTop w:val="0"/>
          <w:marBottom w:val="0"/>
          <w:divBdr>
            <w:top w:val="none" w:sz="0" w:space="0" w:color="auto"/>
            <w:left w:val="none" w:sz="0" w:space="0" w:color="auto"/>
            <w:bottom w:val="none" w:sz="0" w:space="0" w:color="auto"/>
            <w:right w:val="none" w:sz="0" w:space="0" w:color="auto"/>
          </w:divBdr>
        </w:div>
        <w:div w:id="1741562796">
          <w:marLeft w:val="0"/>
          <w:marRight w:val="0"/>
          <w:marTop w:val="0"/>
          <w:marBottom w:val="0"/>
          <w:divBdr>
            <w:top w:val="none" w:sz="0" w:space="0" w:color="auto"/>
            <w:left w:val="none" w:sz="0" w:space="0" w:color="auto"/>
            <w:bottom w:val="none" w:sz="0" w:space="0" w:color="auto"/>
            <w:right w:val="none" w:sz="0" w:space="0" w:color="auto"/>
          </w:divBdr>
        </w:div>
        <w:div w:id="1775247981">
          <w:marLeft w:val="0"/>
          <w:marRight w:val="0"/>
          <w:marTop w:val="0"/>
          <w:marBottom w:val="0"/>
          <w:divBdr>
            <w:top w:val="none" w:sz="0" w:space="0" w:color="auto"/>
            <w:left w:val="none" w:sz="0" w:space="0" w:color="auto"/>
            <w:bottom w:val="none" w:sz="0" w:space="0" w:color="auto"/>
            <w:right w:val="none" w:sz="0" w:space="0" w:color="auto"/>
          </w:divBdr>
        </w:div>
        <w:div w:id="1802071000">
          <w:marLeft w:val="0"/>
          <w:marRight w:val="0"/>
          <w:marTop w:val="0"/>
          <w:marBottom w:val="0"/>
          <w:divBdr>
            <w:top w:val="none" w:sz="0" w:space="0" w:color="auto"/>
            <w:left w:val="none" w:sz="0" w:space="0" w:color="auto"/>
            <w:bottom w:val="none" w:sz="0" w:space="0" w:color="auto"/>
            <w:right w:val="none" w:sz="0" w:space="0" w:color="auto"/>
          </w:divBdr>
        </w:div>
        <w:div w:id="1817186185">
          <w:marLeft w:val="0"/>
          <w:marRight w:val="0"/>
          <w:marTop w:val="0"/>
          <w:marBottom w:val="0"/>
          <w:divBdr>
            <w:top w:val="none" w:sz="0" w:space="0" w:color="auto"/>
            <w:left w:val="none" w:sz="0" w:space="0" w:color="auto"/>
            <w:bottom w:val="none" w:sz="0" w:space="0" w:color="auto"/>
            <w:right w:val="none" w:sz="0" w:space="0" w:color="auto"/>
          </w:divBdr>
        </w:div>
        <w:div w:id="1817801090">
          <w:marLeft w:val="0"/>
          <w:marRight w:val="0"/>
          <w:marTop w:val="0"/>
          <w:marBottom w:val="0"/>
          <w:divBdr>
            <w:top w:val="none" w:sz="0" w:space="0" w:color="auto"/>
            <w:left w:val="none" w:sz="0" w:space="0" w:color="auto"/>
            <w:bottom w:val="none" w:sz="0" w:space="0" w:color="auto"/>
            <w:right w:val="none" w:sz="0" w:space="0" w:color="auto"/>
          </w:divBdr>
        </w:div>
        <w:div w:id="1831873108">
          <w:marLeft w:val="0"/>
          <w:marRight w:val="0"/>
          <w:marTop w:val="0"/>
          <w:marBottom w:val="0"/>
          <w:divBdr>
            <w:top w:val="none" w:sz="0" w:space="0" w:color="auto"/>
            <w:left w:val="none" w:sz="0" w:space="0" w:color="auto"/>
            <w:bottom w:val="none" w:sz="0" w:space="0" w:color="auto"/>
            <w:right w:val="none" w:sz="0" w:space="0" w:color="auto"/>
          </w:divBdr>
        </w:div>
        <w:div w:id="1832870010">
          <w:marLeft w:val="0"/>
          <w:marRight w:val="0"/>
          <w:marTop w:val="0"/>
          <w:marBottom w:val="0"/>
          <w:divBdr>
            <w:top w:val="none" w:sz="0" w:space="0" w:color="auto"/>
            <w:left w:val="none" w:sz="0" w:space="0" w:color="auto"/>
            <w:bottom w:val="none" w:sz="0" w:space="0" w:color="auto"/>
            <w:right w:val="none" w:sz="0" w:space="0" w:color="auto"/>
          </w:divBdr>
        </w:div>
        <w:div w:id="1940601586">
          <w:marLeft w:val="0"/>
          <w:marRight w:val="0"/>
          <w:marTop w:val="0"/>
          <w:marBottom w:val="0"/>
          <w:divBdr>
            <w:top w:val="none" w:sz="0" w:space="0" w:color="auto"/>
            <w:left w:val="none" w:sz="0" w:space="0" w:color="auto"/>
            <w:bottom w:val="none" w:sz="0" w:space="0" w:color="auto"/>
            <w:right w:val="none" w:sz="0" w:space="0" w:color="auto"/>
          </w:divBdr>
        </w:div>
        <w:div w:id="1990941025">
          <w:marLeft w:val="0"/>
          <w:marRight w:val="0"/>
          <w:marTop w:val="0"/>
          <w:marBottom w:val="0"/>
          <w:divBdr>
            <w:top w:val="none" w:sz="0" w:space="0" w:color="auto"/>
            <w:left w:val="none" w:sz="0" w:space="0" w:color="auto"/>
            <w:bottom w:val="none" w:sz="0" w:space="0" w:color="auto"/>
            <w:right w:val="none" w:sz="0" w:space="0" w:color="auto"/>
          </w:divBdr>
        </w:div>
        <w:div w:id="2035425269">
          <w:marLeft w:val="0"/>
          <w:marRight w:val="0"/>
          <w:marTop w:val="0"/>
          <w:marBottom w:val="0"/>
          <w:divBdr>
            <w:top w:val="none" w:sz="0" w:space="0" w:color="auto"/>
            <w:left w:val="none" w:sz="0" w:space="0" w:color="auto"/>
            <w:bottom w:val="none" w:sz="0" w:space="0" w:color="auto"/>
            <w:right w:val="none" w:sz="0" w:space="0" w:color="auto"/>
          </w:divBdr>
        </w:div>
        <w:div w:id="2035498240">
          <w:marLeft w:val="0"/>
          <w:marRight w:val="0"/>
          <w:marTop w:val="0"/>
          <w:marBottom w:val="0"/>
          <w:divBdr>
            <w:top w:val="none" w:sz="0" w:space="0" w:color="auto"/>
            <w:left w:val="none" w:sz="0" w:space="0" w:color="auto"/>
            <w:bottom w:val="none" w:sz="0" w:space="0" w:color="auto"/>
            <w:right w:val="none" w:sz="0" w:space="0" w:color="auto"/>
          </w:divBdr>
        </w:div>
        <w:div w:id="206753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gtot.nctcog.org/training/pfia-workshops/training-requirement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D38476D005842B1146CC170F996C6" ma:contentTypeVersion="10" ma:contentTypeDescription="Create a new document." ma:contentTypeScope="" ma:versionID="8a435785b68e7e161bfbebdb692f6fd6">
  <xsd:schema xmlns:xsd="http://www.w3.org/2001/XMLSchema" xmlns:xs="http://www.w3.org/2001/XMLSchema" xmlns:p="http://schemas.microsoft.com/office/2006/metadata/properties" xmlns:ns2="4cd1e854-0e0b-48ad-89ea-8b0e17462108" xmlns:ns3="ad47cabe-bac4-40be-83d2-543846331ce7" targetNamespace="http://schemas.microsoft.com/office/2006/metadata/properties" ma:root="true" ma:fieldsID="30fc80fe76b414a8f3c9566bbb32c213" ns2:_="" ns3:_="">
    <xsd:import namespace="4cd1e854-0e0b-48ad-89ea-8b0e17462108"/>
    <xsd:import namespace="ad47cabe-bac4-40be-83d2-543846331c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1e854-0e0b-48ad-89ea-8b0e17462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fe284ab-3129-4a4f-a33b-1446679d637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7cabe-bac4-40be-83d2-543846331c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6adffa3-05d2-4361-af73-5e7ef7eef1fe}" ma:internalName="TaxCatchAll" ma:showField="CatchAllData" ma:web="ad47cabe-bac4-40be-83d2-543846331c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d1e854-0e0b-48ad-89ea-8b0e17462108">
      <Terms xmlns="http://schemas.microsoft.com/office/infopath/2007/PartnerControls"/>
    </lcf76f155ced4ddcb4097134ff3c332f>
    <TaxCatchAll xmlns="ad47cabe-bac4-40be-83d2-543846331ce7" xsi:nil="true"/>
  </documentManagement>
</p:properties>
</file>

<file path=customXml/itemProps1.xml><?xml version="1.0" encoding="utf-8"?>
<ds:datastoreItem xmlns:ds="http://schemas.openxmlformats.org/officeDocument/2006/customXml" ds:itemID="{0D20662F-2E94-4C75-AC15-38B73B82D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1e854-0e0b-48ad-89ea-8b0e17462108"/>
    <ds:schemaRef ds:uri="ad47cabe-bac4-40be-83d2-543846331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EF32D-A982-4473-94B6-B5C7C999BB0E}">
  <ds:schemaRefs>
    <ds:schemaRef ds:uri="http://schemas.microsoft.com/sharepoint/v3/contenttype/forms"/>
  </ds:schemaRefs>
</ds:datastoreItem>
</file>

<file path=customXml/itemProps3.xml><?xml version="1.0" encoding="utf-8"?>
<ds:datastoreItem xmlns:ds="http://schemas.openxmlformats.org/officeDocument/2006/customXml" ds:itemID="{210E50E8-6035-4B04-80A8-E4914409CD82}">
  <ds:schemaRefs>
    <ds:schemaRef ds:uri="http://schemas.microsoft.com/office/2006/metadata/properties"/>
    <ds:schemaRef ds:uri="http://schemas.microsoft.com/office/infopath/2007/PartnerControls"/>
    <ds:schemaRef ds:uri="4cd1e854-0e0b-48ad-89ea-8b0e17462108"/>
    <ds:schemaRef ds:uri="ad47cabe-bac4-40be-83d2-543846331ce7"/>
  </ds:schemaRefs>
</ds:datastoreItem>
</file>

<file path=docMetadata/LabelInfo.xml><?xml version="1.0" encoding="utf-8"?>
<clbl:labelList xmlns:clbl="http://schemas.microsoft.com/office/2020/mipLabelMetadata">
  <clbl:label id="{a061e953-577f-44bc-90d4-dd6552c79708}" enabled="1" method="Privileged" siteId="{2f5e7ebc-22b0-4fbe-934c-aabddb4e29b1}" contentBits="0" removed="0"/>
</clbl:labelList>
</file>

<file path=docProps/app.xml><?xml version="1.0" encoding="utf-8"?>
<Properties xmlns="http://schemas.openxmlformats.org/officeDocument/2006/extended-properties" xmlns:vt="http://schemas.openxmlformats.org/officeDocument/2006/docPropsVTypes">
  <Template>Normal</Template>
  <TotalTime>11</TotalTime>
  <Pages>6</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Entities subject to PFIA (Section 2256</vt:lpstr>
    </vt:vector>
  </TitlesOfParts>
  <Company>Microsoft</Company>
  <LinksUpToDate>false</LinksUpToDate>
  <CharactersWithSpaces>11654</CharactersWithSpaces>
  <SharedDoc>false</SharedDoc>
  <HLinks>
    <vt:vector size="6" baseType="variant">
      <vt:variant>
        <vt:i4>1114141</vt:i4>
      </vt:variant>
      <vt:variant>
        <vt:i4>0</vt:i4>
      </vt:variant>
      <vt:variant>
        <vt:i4>0</vt:i4>
      </vt:variant>
      <vt:variant>
        <vt:i4>5</vt:i4>
      </vt:variant>
      <vt:variant>
        <vt:lpwstr>https://cpm.hps.unt.edu/training-requirements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Policy Checklist</dc:title>
  <dc:subject/>
  <dc:creator>Windows98</dc:creator>
  <cp:keywords/>
  <cp:lastModifiedBy>Emily Cook</cp:lastModifiedBy>
  <cp:revision>5</cp:revision>
  <cp:lastPrinted>2005-05-09T18:28:00Z</cp:lastPrinted>
  <dcterms:created xsi:type="dcterms:W3CDTF">2021-09-10T15:39:00Z</dcterms:created>
  <dcterms:modified xsi:type="dcterms:W3CDTF">2023-07-07T14:59:00Z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0x010100ED1D38476D005842B1146CC170F996C6</vt:lpwstr>
  </property>
</Properties>
</file>